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B5200" w14:textId="77777777" w:rsidR="00194832" w:rsidRDefault="00194832">
      <w:pPr>
        <w:pStyle w:val="BodyText"/>
        <w:ind w:left="0"/>
        <w:jc w:val="left"/>
      </w:pPr>
    </w:p>
    <w:p w14:paraId="4E5B5201" w14:textId="77777777" w:rsidR="00194832" w:rsidRDefault="00194832">
      <w:pPr>
        <w:pStyle w:val="BodyText"/>
        <w:spacing w:before="140"/>
        <w:ind w:left="0"/>
        <w:jc w:val="left"/>
      </w:pPr>
    </w:p>
    <w:p w14:paraId="28202268" w14:textId="03CC0DFF" w:rsidR="00B8212C" w:rsidRDefault="00FB6B74">
      <w:pPr>
        <w:pStyle w:val="BodyText"/>
        <w:spacing w:before="3"/>
        <w:ind w:left="0" w:right="119"/>
        <w:jc w:val="center"/>
        <w:rPr>
          <w:b/>
          <w:bCs/>
        </w:rPr>
      </w:pPr>
      <w:r w:rsidRPr="00FB6B74">
        <w:rPr>
          <w:b/>
          <w:bCs/>
        </w:rPr>
        <w:t>THE PREVALENCE OF BENIGN PAROXYSMAL POSITIONAL VERTIGO AND ITS ASSOCIATION WITH QUALITY OF LIFE</w:t>
      </w:r>
    </w:p>
    <w:p w14:paraId="4E5B5203" w14:textId="094E167C" w:rsidR="00194832" w:rsidRDefault="00FB6B74" w:rsidP="00FB6B74">
      <w:pPr>
        <w:pStyle w:val="BodyText"/>
        <w:spacing w:before="3"/>
        <w:ind w:left="0" w:right="119"/>
        <w:jc w:val="center"/>
      </w:pPr>
      <w:r>
        <w:t>Mehwish Raza</w:t>
      </w:r>
      <w:r w:rsidR="00072C34" w:rsidRPr="006976AA">
        <w:rPr>
          <w:vertAlign w:val="superscript"/>
        </w:rPr>
        <w:t>1</w:t>
      </w:r>
      <w:r>
        <w:t>, Nosheen Manzoor</w:t>
      </w:r>
      <w:r w:rsidR="00A95B8F" w:rsidRPr="006976AA">
        <w:rPr>
          <w:vertAlign w:val="superscript"/>
        </w:rPr>
        <w:t>2</w:t>
      </w:r>
      <w:r>
        <w:t>, Maria Sarfraz</w:t>
      </w:r>
      <w:r w:rsidRPr="006976AA">
        <w:rPr>
          <w:vertAlign w:val="superscript"/>
        </w:rPr>
        <w:t>3</w:t>
      </w:r>
      <w:r>
        <w:t>, Sanila Ghaffar</w:t>
      </w:r>
      <w:r w:rsidRPr="006976AA">
        <w:rPr>
          <w:vertAlign w:val="superscript"/>
        </w:rPr>
        <w:t>4</w:t>
      </w:r>
      <w:r>
        <w:t>, Rimsha</w:t>
      </w:r>
      <w:r w:rsidR="00007AE2" w:rsidRPr="006976AA">
        <w:rPr>
          <w:vertAlign w:val="superscript"/>
        </w:rPr>
        <w:t>5</w:t>
      </w:r>
      <w:r>
        <w:t>, Nimra</w:t>
      </w:r>
      <w:r w:rsidRPr="00FB6B74">
        <w:rPr>
          <w:vertAlign w:val="superscript"/>
        </w:rPr>
        <w:t>6</w:t>
      </w:r>
      <w:r>
        <w:t>, Bisma Ahmad</w:t>
      </w:r>
      <w:r w:rsidRPr="00FB6B74">
        <w:rPr>
          <w:vertAlign w:val="superscript"/>
        </w:rPr>
        <w:t>7</w:t>
      </w:r>
    </w:p>
    <w:tbl>
      <w:tblPr>
        <w:tblW w:w="0" w:type="auto"/>
        <w:tblInd w:w="38"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CellMar>
          <w:left w:w="0" w:type="dxa"/>
          <w:right w:w="0" w:type="dxa"/>
        </w:tblCellMar>
        <w:tblLook w:val="01E0" w:firstRow="1" w:lastRow="1" w:firstColumn="1" w:lastColumn="1" w:noHBand="0" w:noVBand="0"/>
      </w:tblPr>
      <w:tblGrid>
        <w:gridCol w:w="9235"/>
      </w:tblGrid>
      <w:tr w:rsidR="00194832" w14:paraId="4E5B520A" w14:textId="77777777" w:rsidTr="005A2FE9">
        <w:trPr>
          <w:trHeight w:val="5731"/>
        </w:trPr>
        <w:tc>
          <w:tcPr>
            <w:tcW w:w="9235" w:type="dxa"/>
          </w:tcPr>
          <w:p w14:paraId="4E5B5204" w14:textId="77777777" w:rsidR="00194832" w:rsidRDefault="002311B1" w:rsidP="000F0950">
            <w:pPr>
              <w:pStyle w:val="TableParagraph"/>
              <w:spacing w:line="272" w:lineRule="exact"/>
              <w:ind w:left="105"/>
              <w:jc w:val="both"/>
              <w:rPr>
                <w:sz w:val="24"/>
              </w:rPr>
            </w:pPr>
            <w:r>
              <w:rPr>
                <w:spacing w:val="-2"/>
                <w:sz w:val="24"/>
              </w:rPr>
              <w:t>ABSTRACT</w:t>
            </w:r>
          </w:p>
          <w:p w14:paraId="03F9286E" w14:textId="03763CEA" w:rsidR="00D13A9D" w:rsidRDefault="002311B1" w:rsidP="00C0632F">
            <w:pPr>
              <w:pStyle w:val="TableParagraph"/>
              <w:ind w:left="105" w:right="76"/>
              <w:jc w:val="both"/>
              <w:rPr>
                <w:sz w:val="24"/>
              </w:rPr>
            </w:pPr>
            <w:r>
              <w:rPr>
                <w:b/>
                <w:sz w:val="24"/>
              </w:rPr>
              <w:t>Introduction</w:t>
            </w:r>
            <w:r>
              <w:rPr>
                <w:sz w:val="24"/>
              </w:rPr>
              <w:t xml:space="preserve">: </w:t>
            </w:r>
            <w:r w:rsidR="00D13A9D" w:rsidRPr="00D13A9D">
              <w:rPr>
                <w:sz w:val="24"/>
              </w:rPr>
              <w:t xml:space="preserve">Benign Paroxysmal Positional Vertigo (BPPV) is an inner ear mechanical disorder caused by dislodged otoconial debris from the utricle entering one or more semicircular canals. </w:t>
            </w:r>
          </w:p>
          <w:p w14:paraId="1A38C5ED" w14:textId="6A0B9FB1" w:rsidR="00D13A9D" w:rsidRDefault="002311B1" w:rsidP="00C0632F">
            <w:pPr>
              <w:pStyle w:val="TableParagraph"/>
              <w:spacing w:before="1" w:line="256" w:lineRule="exact"/>
              <w:ind w:left="105"/>
              <w:jc w:val="both"/>
              <w:rPr>
                <w:sz w:val="24"/>
                <w:szCs w:val="24"/>
              </w:rPr>
            </w:pPr>
            <w:r>
              <w:rPr>
                <w:b/>
                <w:sz w:val="24"/>
              </w:rPr>
              <w:t>Material &amp; Methods</w:t>
            </w:r>
            <w:r>
              <w:rPr>
                <w:sz w:val="24"/>
              </w:rPr>
              <w:t xml:space="preserve">: </w:t>
            </w:r>
            <w:r w:rsidR="00D13A9D" w:rsidRPr="00D13A9D">
              <w:rPr>
                <w:sz w:val="24"/>
                <w:szCs w:val="24"/>
              </w:rPr>
              <w:t>A cross-sectional survey was conducted in UMT Lahore. 219 participants were included in the study through convenient sampling determined asymptomatic healthy adults aged 18-40 years, including those at high risk of falling. Individuals with conditions that hinder BPPV diagnosis or those with existing vestibular or musculoskeletal dis</w:t>
            </w:r>
            <w:r w:rsidR="00D13A9D">
              <w:rPr>
                <w:sz w:val="24"/>
                <w:szCs w:val="24"/>
              </w:rPr>
              <w:t xml:space="preserve">orders were excluded. Data was </w:t>
            </w:r>
            <w:r w:rsidR="00D13A9D" w:rsidRPr="00D13A9D">
              <w:rPr>
                <w:sz w:val="24"/>
                <w:szCs w:val="24"/>
              </w:rPr>
              <w:t>collected through a structured questionnaire. Participants were recruited from University of Management and Technology, School of Health Sciences campus students and workers, with informed consent obtained prior to data collection. Data was analyzed using SPSS version 22.</w:t>
            </w:r>
          </w:p>
          <w:p w14:paraId="1F14288F" w14:textId="77777777" w:rsidR="00D13A9D" w:rsidRDefault="002311B1" w:rsidP="000F0950">
            <w:pPr>
              <w:pStyle w:val="TableParagraph"/>
              <w:spacing w:before="1" w:line="256" w:lineRule="exact"/>
              <w:ind w:left="105"/>
              <w:jc w:val="both"/>
              <w:rPr>
                <w:sz w:val="24"/>
              </w:rPr>
            </w:pPr>
            <w:r>
              <w:rPr>
                <w:b/>
                <w:sz w:val="24"/>
              </w:rPr>
              <w:t>Results</w:t>
            </w:r>
            <w:r>
              <w:rPr>
                <w:sz w:val="24"/>
              </w:rPr>
              <w:t xml:space="preserve">: </w:t>
            </w:r>
            <w:r w:rsidR="00D13A9D" w:rsidRPr="00D13A9D">
              <w:rPr>
                <w:sz w:val="24"/>
              </w:rPr>
              <w:t>The mean age of the 219 participants was 23.06 years (SD = 4.63). Female participants significantly outnumbered males, with 82.2% (180 individuals) being female and 17.8% (39 individuals) male. Regarding symptoms, 43.4% of the participants reported feeling dizzy, while 56.6% did not. The prevalence of BPPV, assessed using the Dix-Hallpike maneuver, was found to be 13.2%, while 86.8% tested negative for BPPV. Despite vertigo symptoms being present in a notable portion of participants, the statistical analysis did not reveal a significant association between vertigo test results and quality of life scores, as indicated by a p-value of 0.414.</w:t>
            </w:r>
          </w:p>
          <w:p w14:paraId="6FF00EBE" w14:textId="77777777" w:rsidR="00D13A9D" w:rsidRDefault="002311B1" w:rsidP="000F0950">
            <w:pPr>
              <w:pStyle w:val="TableParagraph"/>
              <w:spacing w:before="1" w:line="256" w:lineRule="exact"/>
              <w:ind w:left="105"/>
              <w:jc w:val="both"/>
              <w:rPr>
                <w:sz w:val="24"/>
              </w:rPr>
            </w:pPr>
            <w:r>
              <w:rPr>
                <w:b/>
                <w:sz w:val="24"/>
              </w:rPr>
              <w:t>Conclusion</w:t>
            </w:r>
            <w:r>
              <w:rPr>
                <w:sz w:val="24"/>
              </w:rPr>
              <w:t xml:space="preserve">: </w:t>
            </w:r>
            <w:r w:rsidR="00D13A9D" w:rsidRPr="00D13A9D">
              <w:rPr>
                <w:sz w:val="24"/>
              </w:rPr>
              <w:t>BPPV is most likely the most prevalent cause of vestibular vertigo, accounting for 20 to 30% of cases diagnosed in specialized clinics. This study aims to highlight the importance of early diagnosis and intervention for BPPV, particularly in individuals with low quality of life, to improve overall well-being and reduce psychological distress.</w:t>
            </w:r>
          </w:p>
          <w:p w14:paraId="4E5B5209" w14:textId="6D46871A" w:rsidR="00194832" w:rsidRDefault="002311B1" w:rsidP="004B52FC">
            <w:pPr>
              <w:pStyle w:val="TableParagraph"/>
              <w:spacing w:before="1" w:line="256" w:lineRule="exact"/>
              <w:ind w:left="105"/>
              <w:jc w:val="both"/>
              <w:rPr>
                <w:sz w:val="24"/>
              </w:rPr>
            </w:pPr>
            <w:r>
              <w:rPr>
                <w:b/>
                <w:sz w:val="24"/>
              </w:rPr>
              <w:t>Key</w:t>
            </w:r>
            <w:r w:rsidR="00FB6D38">
              <w:rPr>
                <w:b/>
                <w:spacing w:val="-2"/>
                <w:sz w:val="24"/>
              </w:rPr>
              <w:t>w</w:t>
            </w:r>
            <w:r>
              <w:rPr>
                <w:b/>
                <w:sz w:val="24"/>
              </w:rPr>
              <w:t>ords</w:t>
            </w:r>
            <w:r>
              <w:rPr>
                <w:sz w:val="24"/>
              </w:rPr>
              <w:t>:</w:t>
            </w:r>
            <w:r>
              <w:rPr>
                <w:spacing w:val="-2"/>
                <w:sz w:val="24"/>
              </w:rPr>
              <w:t xml:space="preserve"> </w:t>
            </w:r>
            <w:r w:rsidR="00966B3F">
              <w:rPr>
                <w:spacing w:val="-2"/>
                <w:sz w:val="24"/>
              </w:rPr>
              <w:t>Aging, Anxiety Disorders,</w:t>
            </w:r>
            <w:r w:rsidR="004B52FC">
              <w:rPr>
                <w:spacing w:val="-2"/>
                <w:sz w:val="24"/>
              </w:rPr>
              <w:t xml:space="preserve"> Comorbidities, </w:t>
            </w:r>
            <w:r w:rsidR="00D13A9D">
              <w:rPr>
                <w:spacing w:val="-2"/>
                <w:sz w:val="24"/>
              </w:rPr>
              <w:t>Dizziness</w:t>
            </w:r>
            <w:r w:rsidR="004B52FC">
              <w:rPr>
                <w:spacing w:val="-2"/>
                <w:sz w:val="24"/>
              </w:rPr>
              <w:t>, Postural Balance.</w:t>
            </w:r>
          </w:p>
        </w:tc>
      </w:tr>
      <w:tr w:rsidR="00194832" w14:paraId="4E5B5216" w14:textId="77777777" w:rsidTr="00EC67BC">
        <w:trPr>
          <w:trHeight w:val="4192"/>
        </w:trPr>
        <w:tc>
          <w:tcPr>
            <w:tcW w:w="9235" w:type="dxa"/>
          </w:tcPr>
          <w:p w14:paraId="4E5B520B" w14:textId="573B0FC5" w:rsidR="00194832" w:rsidRDefault="002311B1">
            <w:pPr>
              <w:pStyle w:val="TableParagraph"/>
              <w:spacing w:before="1"/>
              <w:ind w:left="105" w:right="76"/>
              <w:jc w:val="both"/>
              <w:rPr>
                <w:sz w:val="24"/>
              </w:rPr>
            </w:pPr>
            <w:r>
              <w:rPr>
                <w:b/>
                <w:sz w:val="24"/>
              </w:rPr>
              <w:t>Authors’ Declaration</w:t>
            </w:r>
            <w:r>
              <w:rPr>
                <w:sz w:val="24"/>
              </w:rPr>
              <w:t>: The authors declared no conflict of interest and agreed to be accountable for all aspects of the work in ensuring that questions related to the accuracy or integrity of any part of the work are appropriately investigated and resolved. All authors contributed substantially to the planning of research, question designing, data collection, data analysis and write-up of the article.</w:t>
            </w:r>
          </w:p>
          <w:p w14:paraId="4E5B520C" w14:textId="77777777" w:rsidR="00194832" w:rsidRDefault="002311B1">
            <w:pPr>
              <w:pStyle w:val="TableParagraph"/>
              <w:spacing w:line="272" w:lineRule="exact"/>
              <w:ind w:left="105"/>
              <w:rPr>
                <w:b/>
                <w:sz w:val="24"/>
              </w:rPr>
            </w:pPr>
            <w:r>
              <w:rPr>
                <w:b/>
                <w:sz w:val="24"/>
              </w:rPr>
              <w:t>Authors’</w:t>
            </w:r>
            <w:r>
              <w:rPr>
                <w:b/>
                <w:spacing w:val="-2"/>
                <w:sz w:val="24"/>
              </w:rPr>
              <w:t xml:space="preserve"> Affiliation</w:t>
            </w:r>
          </w:p>
          <w:p w14:paraId="78981BC5" w14:textId="560A5382" w:rsidR="00C0632F" w:rsidRDefault="00C0632F" w:rsidP="00C0632F">
            <w:pPr>
              <w:pStyle w:val="TableParagraph"/>
              <w:spacing w:line="276" w:lineRule="exact"/>
              <w:ind w:left="105"/>
              <w:rPr>
                <w:sz w:val="24"/>
              </w:rPr>
            </w:pPr>
            <w:r w:rsidRPr="000B6DEE">
              <w:rPr>
                <w:sz w:val="24"/>
                <w:vertAlign w:val="superscript"/>
              </w:rPr>
              <w:t>1</w:t>
            </w:r>
            <w:r>
              <w:rPr>
                <w:sz w:val="24"/>
              </w:rPr>
              <w:t>Lectrurer, Begum Nusrat Bhutto Women University, Royal Institute of Physiotherapist and Rehabilitation, Sukkur</w:t>
            </w:r>
          </w:p>
          <w:p w14:paraId="7E6E5477" w14:textId="77777777" w:rsidR="00C0632F" w:rsidRDefault="00C0632F" w:rsidP="00C0632F">
            <w:pPr>
              <w:pStyle w:val="TableParagraph"/>
              <w:spacing w:line="276" w:lineRule="exact"/>
              <w:ind w:left="105"/>
              <w:rPr>
                <w:sz w:val="24"/>
              </w:rPr>
            </w:pPr>
            <w:r w:rsidRPr="007A591E">
              <w:rPr>
                <w:sz w:val="24"/>
                <w:vertAlign w:val="superscript"/>
              </w:rPr>
              <w:t>2</w:t>
            </w:r>
            <w:r w:rsidRPr="007A591E">
              <w:rPr>
                <w:sz w:val="24"/>
              </w:rPr>
              <w:t xml:space="preserve">Assistant </w:t>
            </w:r>
            <w:r>
              <w:rPr>
                <w:sz w:val="24"/>
              </w:rPr>
              <w:t>P</w:t>
            </w:r>
            <w:r w:rsidRPr="007A591E">
              <w:rPr>
                <w:sz w:val="24"/>
              </w:rPr>
              <w:t>rofessor</w:t>
            </w:r>
            <w:r>
              <w:rPr>
                <w:sz w:val="24"/>
              </w:rPr>
              <w:t>, School of Health Sciences, University of Management and Technology, Lahore</w:t>
            </w:r>
          </w:p>
          <w:p w14:paraId="69AB5BD4" w14:textId="77777777" w:rsidR="00C0632F" w:rsidRDefault="00C0632F" w:rsidP="00C0632F">
            <w:pPr>
              <w:pStyle w:val="TableParagraph"/>
              <w:spacing w:line="276" w:lineRule="exact"/>
              <w:ind w:left="105"/>
              <w:rPr>
                <w:sz w:val="24"/>
              </w:rPr>
            </w:pPr>
            <w:r w:rsidRPr="008A1ACC">
              <w:rPr>
                <w:sz w:val="24"/>
                <w:vertAlign w:val="superscript"/>
              </w:rPr>
              <w:t>3</w:t>
            </w:r>
            <w:r w:rsidRPr="008A1ACC">
              <w:rPr>
                <w:sz w:val="24"/>
              </w:rPr>
              <w:t>Physiotherapist</w:t>
            </w:r>
            <w:r>
              <w:rPr>
                <w:sz w:val="24"/>
              </w:rPr>
              <w:t>, Private Clinic, Jhang</w:t>
            </w:r>
          </w:p>
          <w:p w14:paraId="6DEEC4EE" w14:textId="77777777" w:rsidR="00C0632F" w:rsidRDefault="00C0632F" w:rsidP="00C0632F">
            <w:pPr>
              <w:pStyle w:val="TableParagraph"/>
              <w:spacing w:line="276" w:lineRule="exact"/>
              <w:ind w:left="105"/>
              <w:rPr>
                <w:sz w:val="24"/>
              </w:rPr>
            </w:pPr>
            <w:r>
              <w:rPr>
                <w:sz w:val="24"/>
                <w:vertAlign w:val="superscript"/>
              </w:rPr>
              <w:t>4</w:t>
            </w:r>
            <w:r w:rsidRPr="008A1ACC">
              <w:rPr>
                <w:sz w:val="24"/>
              </w:rPr>
              <w:t>Physiotherapist</w:t>
            </w:r>
            <w:r>
              <w:rPr>
                <w:sz w:val="24"/>
              </w:rPr>
              <w:t xml:space="preserve">, </w:t>
            </w:r>
            <w:proofErr w:type="spellStart"/>
            <w:r>
              <w:rPr>
                <w:sz w:val="24"/>
              </w:rPr>
              <w:t>Mediaid</w:t>
            </w:r>
            <w:proofErr w:type="spellEnd"/>
            <w:r>
              <w:rPr>
                <w:sz w:val="24"/>
              </w:rPr>
              <w:t xml:space="preserve"> Clinic, Lahore</w:t>
            </w:r>
          </w:p>
          <w:p w14:paraId="7C05D465" w14:textId="77777777" w:rsidR="00C0632F" w:rsidRDefault="00C0632F" w:rsidP="00C0632F">
            <w:pPr>
              <w:pStyle w:val="TableParagraph"/>
              <w:spacing w:line="276" w:lineRule="exact"/>
              <w:ind w:left="105"/>
              <w:rPr>
                <w:sz w:val="24"/>
              </w:rPr>
            </w:pPr>
            <w:r w:rsidRPr="0017729A">
              <w:rPr>
                <w:sz w:val="24"/>
                <w:vertAlign w:val="superscript"/>
              </w:rPr>
              <w:t>5</w:t>
            </w:r>
            <w:r>
              <w:rPr>
                <w:sz w:val="24"/>
              </w:rPr>
              <w:t xml:space="preserve">Physiotherapist, Sardar Bibi Trust Hospital, </w:t>
            </w:r>
            <w:proofErr w:type="spellStart"/>
            <w:r>
              <w:rPr>
                <w:sz w:val="24"/>
              </w:rPr>
              <w:t>Sheikhpura</w:t>
            </w:r>
            <w:proofErr w:type="spellEnd"/>
          </w:p>
          <w:p w14:paraId="06B2234D" w14:textId="77777777" w:rsidR="00C0632F" w:rsidRDefault="00C0632F" w:rsidP="00C0632F">
            <w:pPr>
              <w:pStyle w:val="TableParagraph"/>
              <w:spacing w:line="276" w:lineRule="exact"/>
              <w:ind w:left="105"/>
              <w:rPr>
                <w:sz w:val="24"/>
              </w:rPr>
            </w:pPr>
            <w:r>
              <w:rPr>
                <w:sz w:val="24"/>
                <w:vertAlign w:val="superscript"/>
              </w:rPr>
              <w:t>6</w:t>
            </w:r>
            <w:r>
              <w:rPr>
                <w:sz w:val="24"/>
              </w:rPr>
              <w:t>Physiotherapist, Private Clinic, Kasur</w:t>
            </w:r>
          </w:p>
          <w:p w14:paraId="7B00F724" w14:textId="77777777" w:rsidR="00C0632F" w:rsidRDefault="00C0632F" w:rsidP="00C0632F">
            <w:pPr>
              <w:pStyle w:val="TableParagraph"/>
              <w:spacing w:line="276" w:lineRule="exact"/>
              <w:ind w:left="105"/>
              <w:rPr>
                <w:sz w:val="24"/>
              </w:rPr>
            </w:pPr>
            <w:r>
              <w:rPr>
                <w:sz w:val="24"/>
                <w:vertAlign w:val="superscript"/>
              </w:rPr>
              <w:t>7</w:t>
            </w:r>
            <w:r>
              <w:rPr>
                <w:sz w:val="24"/>
              </w:rPr>
              <w:t>Physiotherapist, Sehat Medical Complex, Lahore</w:t>
            </w:r>
          </w:p>
          <w:p w14:paraId="4E5B5211" w14:textId="77777777" w:rsidR="00194832" w:rsidRDefault="002311B1">
            <w:pPr>
              <w:pStyle w:val="TableParagraph"/>
              <w:spacing w:line="275" w:lineRule="exact"/>
              <w:ind w:left="105"/>
              <w:rPr>
                <w:b/>
                <w:sz w:val="24"/>
              </w:rPr>
            </w:pPr>
            <w:r>
              <w:rPr>
                <w:b/>
                <w:sz w:val="24"/>
              </w:rPr>
              <w:t>Corresponding</w:t>
            </w:r>
            <w:r>
              <w:rPr>
                <w:b/>
                <w:spacing w:val="-4"/>
                <w:sz w:val="24"/>
              </w:rPr>
              <w:t xml:space="preserve"> </w:t>
            </w:r>
            <w:r>
              <w:rPr>
                <w:b/>
                <w:spacing w:val="-2"/>
                <w:sz w:val="24"/>
              </w:rPr>
              <w:t>Author</w:t>
            </w:r>
          </w:p>
          <w:p w14:paraId="105298B0" w14:textId="6D2D2A65" w:rsidR="00C828CE" w:rsidRDefault="00C0632F" w:rsidP="00C828CE">
            <w:pPr>
              <w:pStyle w:val="TableParagraph"/>
              <w:spacing w:before="2" w:line="275" w:lineRule="exact"/>
              <w:ind w:left="105"/>
              <w:rPr>
                <w:sz w:val="24"/>
              </w:rPr>
            </w:pPr>
            <w:r>
              <w:rPr>
                <w:sz w:val="24"/>
              </w:rPr>
              <w:t>Nosheen Manzoor</w:t>
            </w:r>
          </w:p>
          <w:p w14:paraId="27149C1B" w14:textId="77777777" w:rsidR="00535616" w:rsidRDefault="00C0632F" w:rsidP="00C0632F">
            <w:pPr>
              <w:pStyle w:val="TableParagraph"/>
              <w:spacing w:line="276" w:lineRule="exact"/>
              <w:ind w:left="105"/>
              <w:rPr>
                <w:sz w:val="24"/>
              </w:rPr>
            </w:pPr>
            <w:r w:rsidRPr="007A591E">
              <w:rPr>
                <w:sz w:val="24"/>
              </w:rPr>
              <w:t xml:space="preserve">Assistant </w:t>
            </w:r>
            <w:r>
              <w:rPr>
                <w:sz w:val="24"/>
              </w:rPr>
              <w:t>P</w:t>
            </w:r>
            <w:r w:rsidRPr="007A591E">
              <w:rPr>
                <w:sz w:val="24"/>
              </w:rPr>
              <w:t>rofessor</w:t>
            </w:r>
            <w:r>
              <w:rPr>
                <w:sz w:val="24"/>
              </w:rPr>
              <w:t xml:space="preserve">, School of Health Sciences, </w:t>
            </w:r>
          </w:p>
          <w:p w14:paraId="5D0AB3D0" w14:textId="5E7419F4" w:rsidR="00C0632F" w:rsidRDefault="00C0632F" w:rsidP="00C0632F">
            <w:pPr>
              <w:pStyle w:val="TableParagraph"/>
              <w:spacing w:line="276" w:lineRule="exact"/>
              <w:ind w:left="105"/>
              <w:rPr>
                <w:sz w:val="24"/>
              </w:rPr>
            </w:pPr>
            <w:r>
              <w:rPr>
                <w:sz w:val="24"/>
              </w:rPr>
              <w:t>University of Management and Technology, Lahore</w:t>
            </w:r>
          </w:p>
          <w:p w14:paraId="4E5B5213" w14:textId="16F900C9" w:rsidR="00194832" w:rsidRPr="00E325E7" w:rsidRDefault="002311B1" w:rsidP="00C0632F">
            <w:pPr>
              <w:pStyle w:val="TableParagraph"/>
              <w:spacing w:line="242" w:lineRule="auto"/>
              <w:ind w:left="105" w:right="3229"/>
              <w:rPr>
                <w:sz w:val="24"/>
                <w:szCs w:val="24"/>
              </w:rPr>
            </w:pPr>
            <w:r w:rsidRPr="00E325E7">
              <w:rPr>
                <w:sz w:val="24"/>
                <w:szCs w:val="24"/>
              </w:rPr>
              <w:t>Email:</w:t>
            </w:r>
            <w:r w:rsidR="00D70D04" w:rsidRPr="00E325E7">
              <w:rPr>
                <w:sz w:val="24"/>
                <w:szCs w:val="24"/>
              </w:rPr>
              <w:t xml:space="preserve"> </w:t>
            </w:r>
            <w:hyperlink r:id="rId8" w:history="1">
              <w:r w:rsidR="00C0632F" w:rsidRPr="008346D2">
                <w:rPr>
                  <w:rStyle w:val="Hyperlink"/>
                  <w:color w:val="auto"/>
                  <w:u w:val="none"/>
                </w:rPr>
                <w:t>nosheenmanzoor@umt.edu.pk</w:t>
              </w:r>
            </w:hyperlink>
            <w:r w:rsidR="00C0632F" w:rsidRPr="008346D2">
              <w:t xml:space="preserve"> </w:t>
            </w:r>
          </w:p>
          <w:p w14:paraId="4E5B5215" w14:textId="55C4F66F" w:rsidR="00194832" w:rsidRDefault="002311B1" w:rsidP="008346D2">
            <w:pPr>
              <w:pStyle w:val="TableParagraph"/>
              <w:spacing w:line="274" w:lineRule="exact"/>
              <w:ind w:left="105"/>
              <w:rPr>
                <w:sz w:val="24"/>
              </w:rPr>
            </w:pPr>
            <w:r>
              <w:rPr>
                <w:b/>
                <w:sz w:val="24"/>
              </w:rPr>
              <w:t>This</w:t>
            </w:r>
            <w:r>
              <w:rPr>
                <w:b/>
                <w:spacing w:val="-2"/>
                <w:sz w:val="24"/>
              </w:rPr>
              <w:t xml:space="preserve"> </w:t>
            </w:r>
            <w:r>
              <w:rPr>
                <w:b/>
                <w:sz w:val="24"/>
              </w:rPr>
              <w:t>article</w:t>
            </w:r>
            <w:r>
              <w:rPr>
                <w:b/>
                <w:spacing w:val="-1"/>
                <w:sz w:val="24"/>
              </w:rPr>
              <w:t xml:space="preserve"> </w:t>
            </w:r>
            <w:r>
              <w:rPr>
                <w:b/>
                <w:sz w:val="24"/>
              </w:rPr>
              <w:t>may</w:t>
            </w:r>
            <w:r>
              <w:rPr>
                <w:b/>
                <w:spacing w:val="-1"/>
                <w:sz w:val="24"/>
              </w:rPr>
              <w:t xml:space="preserve"> </w:t>
            </w:r>
            <w:r>
              <w:rPr>
                <w:b/>
                <w:sz w:val="24"/>
              </w:rPr>
              <w:t>be</w:t>
            </w:r>
            <w:r>
              <w:rPr>
                <w:b/>
                <w:spacing w:val="-1"/>
                <w:sz w:val="24"/>
              </w:rPr>
              <w:t xml:space="preserve"> </w:t>
            </w:r>
            <w:r>
              <w:rPr>
                <w:b/>
                <w:sz w:val="24"/>
              </w:rPr>
              <w:t>cited</w:t>
            </w:r>
            <w:r>
              <w:rPr>
                <w:b/>
                <w:spacing w:val="-2"/>
                <w:sz w:val="24"/>
              </w:rPr>
              <w:t xml:space="preserve"> </w:t>
            </w:r>
            <w:r>
              <w:rPr>
                <w:b/>
                <w:sz w:val="24"/>
              </w:rPr>
              <w:t>as</w:t>
            </w:r>
            <w:r>
              <w:rPr>
                <w:sz w:val="24"/>
              </w:rPr>
              <w:t>:</w:t>
            </w:r>
            <w:r>
              <w:rPr>
                <w:spacing w:val="-1"/>
                <w:sz w:val="24"/>
              </w:rPr>
              <w:t xml:space="preserve"> </w:t>
            </w:r>
            <w:r w:rsidR="008346D2">
              <w:rPr>
                <w:sz w:val="24"/>
              </w:rPr>
              <w:t>Raza M, Manzoor N,</w:t>
            </w:r>
            <w:r w:rsidR="00F211C8">
              <w:rPr>
                <w:sz w:val="24"/>
              </w:rPr>
              <w:t xml:space="preserve"> Sarfraz M, Ghaffar S, Rimsha, Nimrah, Ahmad B</w:t>
            </w:r>
            <w:r>
              <w:rPr>
                <w:sz w:val="24"/>
              </w:rPr>
              <w:t>.</w:t>
            </w:r>
            <w:r>
              <w:rPr>
                <w:spacing w:val="-1"/>
                <w:sz w:val="24"/>
              </w:rPr>
              <w:t xml:space="preserve"> </w:t>
            </w:r>
            <w:r w:rsidR="008346D2" w:rsidRPr="008346D2">
              <w:rPr>
                <w:sz w:val="24"/>
              </w:rPr>
              <w:t>The prevalence of benign paroxysmal positional vertigo and its association with quality of life</w:t>
            </w:r>
            <w:r>
              <w:rPr>
                <w:sz w:val="24"/>
              </w:rPr>
              <w:t>. Rehman J</w:t>
            </w:r>
            <w:r>
              <w:rPr>
                <w:spacing w:val="40"/>
                <w:sz w:val="24"/>
              </w:rPr>
              <w:t xml:space="preserve"> </w:t>
            </w:r>
            <w:r>
              <w:rPr>
                <w:sz w:val="24"/>
              </w:rPr>
              <w:t>Health Sci. 202</w:t>
            </w:r>
            <w:r w:rsidR="00C66427">
              <w:rPr>
                <w:sz w:val="24"/>
              </w:rPr>
              <w:t>4</w:t>
            </w:r>
            <w:r>
              <w:rPr>
                <w:sz w:val="24"/>
              </w:rPr>
              <w:t>;</w:t>
            </w:r>
            <w:r w:rsidR="00C66427">
              <w:rPr>
                <w:sz w:val="24"/>
              </w:rPr>
              <w:t>6</w:t>
            </w:r>
            <w:r>
              <w:rPr>
                <w:sz w:val="24"/>
              </w:rPr>
              <w:t>(2).</w:t>
            </w:r>
            <w:r w:rsidR="000C7C6C">
              <w:rPr>
                <w:sz w:val="24"/>
              </w:rPr>
              <w:t>149-155</w:t>
            </w:r>
          </w:p>
        </w:tc>
      </w:tr>
      <w:tr w:rsidR="00194832" w14:paraId="4E5B5218" w14:textId="77777777">
        <w:trPr>
          <w:trHeight w:val="277"/>
        </w:trPr>
        <w:tc>
          <w:tcPr>
            <w:tcW w:w="9235" w:type="dxa"/>
          </w:tcPr>
          <w:p w14:paraId="4E5B5217" w14:textId="31B44990" w:rsidR="00194832" w:rsidRPr="007F1C3C" w:rsidRDefault="002311B1">
            <w:pPr>
              <w:pStyle w:val="TableParagraph"/>
              <w:tabs>
                <w:tab w:val="left" w:pos="2802"/>
                <w:tab w:val="left" w:pos="6484"/>
              </w:tabs>
              <w:spacing w:line="257" w:lineRule="exact"/>
              <w:ind w:left="105"/>
              <w:rPr>
                <w:sz w:val="24"/>
                <w:highlight w:val="yellow"/>
              </w:rPr>
            </w:pPr>
            <w:r w:rsidRPr="00634D54">
              <w:rPr>
                <w:sz w:val="24"/>
              </w:rPr>
              <w:t>Submitted:</w:t>
            </w:r>
            <w:r w:rsidRPr="00634D54">
              <w:rPr>
                <w:spacing w:val="-2"/>
                <w:sz w:val="24"/>
              </w:rPr>
              <w:t xml:space="preserve"> </w:t>
            </w:r>
            <w:r w:rsidR="007457F6" w:rsidRPr="00634D54">
              <w:rPr>
                <w:sz w:val="24"/>
              </w:rPr>
              <w:t>Sep</w:t>
            </w:r>
            <w:r w:rsidRPr="00634D54">
              <w:rPr>
                <w:spacing w:val="-1"/>
                <w:sz w:val="24"/>
              </w:rPr>
              <w:t xml:space="preserve"> </w:t>
            </w:r>
            <w:r w:rsidR="007457F6" w:rsidRPr="00634D54">
              <w:rPr>
                <w:sz w:val="24"/>
              </w:rPr>
              <w:t>05</w:t>
            </w:r>
            <w:r w:rsidRPr="00634D54">
              <w:rPr>
                <w:sz w:val="24"/>
              </w:rPr>
              <w:t xml:space="preserve">, </w:t>
            </w:r>
            <w:proofErr w:type="gramStart"/>
            <w:r w:rsidRPr="00634D54">
              <w:rPr>
                <w:spacing w:val="-4"/>
                <w:sz w:val="24"/>
              </w:rPr>
              <w:t>202</w:t>
            </w:r>
            <w:r w:rsidR="007457F6" w:rsidRPr="00634D54">
              <w:rPr>
                <w:spacing w:val="-4"/>
                <w:sz w:val="24"/>
              </w:rPr>
              <w:t>4</w:t>
            </w:r>
            <w:proofErr w:type="gramEnd"/>
            <w:r w:rsidRPr="00634D54">
              <w:rPr>
                <w:sz w:val="24"/>
              </w:rPr>
              <w:tab/>
              <w:t>Revisions</w:t>
            </w:r>
            <w:r w:rsidRPr="00634D54">
              <w:rPr>
                <w:spacing w:val="-3"/>
                <w:sz w:val="24"/>
              </w:rPr>
              <w:t xml:space="preserve"> </w:t>
            </w:r>
            <w:r w:rsidRPr="00634D54">
              <w:rPr>
                <w:sz w:val="24"/>
              </w:rPr>
              <w:t>Submitted:</w:t>
            </w:r>
            <w:r w:rsidRPr="00634D54">
              <w:rPr>
                <w:spacing w:val="-2"/>
                <w:sz w:val="24"/>
              </w:rPr>
              <w:t xml:space="preserve"> </w:t>
            </w:r>
            <w:r w:rsidR="00E10A54" w:rsidRPr="00634D54">
              <w:rPr>
                <w:sz w:val="24"/>
              </w:rPr>
              <w:t>Oct</w:t>
            </w:r>
            <w:r w:rsidRPr="00634D54">
              <w:rPr>
                <w:spacing w:val="-2"/>
                <w:sz w:val="24"/>
              </w:rPr>
              <w:t xml:space="preserve"> </w:t>
            </w:r>
            <w:r w:rsidR="00E10A54" w:rsidRPr="00634D54">
              <w:rPr>
                <w:sz w:val="24"/>
              </w:rPr>
              <w:t>02</w:t>
            </w:r>
            <w:r w:rsidRPr="00634D54">
              <w:rPr>
                <w:sz w:val="24"/>
              </w:rPr>
              <w:t>,</w:t>
            </w:r>
            <w:r w:rsidRPr="00634D54">
              <w:rPr>
                <w:spacing w:val="-1"/>
                <w:sz w:val="24"/>
              </w:rPr>
              <w:t xml:space="preserve"> </w:t>
            </w:r>
            <w:r w:rsidRPr="00634D54">
              <w:rPr>
                <w:spacing w:val="-4"/>
                <w:sz w:val="24"/>
              </w:rPr>
              <w:t>202</w:t>
            </w:r>
            <w:r w:rsidR="00E10A54" w:rsidRPr="00634D54">
              <w:rPr>
                <w:spacing w:val="-4"/>
                <w:sz w:val="24"/>
              </w:rPr>
              <w:t>4</w:t>
            </w:r>
            <w:r w:rsidRPr="00634D54">
              <w:rPr>
                <w:sz w:val="24"/>
              </w:rPr>
              <w:tab/>
              <w:t>Accepted:</w:t>
            </w:r>
            <w:r w:rsidRPr="00634D54">
              <w:rPr>
                <w:spacing w:val="-5"/>
                <w:sz w:val="24"/>
              </w:rPr>
              <w:t xml:space="preserve"> </w:t>
            </w:r>
            <w:r w:rsidRPr="00634D54">
              <w:rPr>
                <w:sz w:val="24"/>
              </w:rPr>
              <w:t>Dec</w:t>
            </w:r>
            <w:r w:rsidRPr="00634D54">
              <w:rPr>
                <w:spacing w:val="-2"/>
                <w:sz w:val="24"/>
              </w:rPr>
              <w:t xml:space="preserve"> </w:t>
            </w:r>
            <w:r w:rsidRPr="00634D54">
              <w:rPr>
                <w:sz w:val="24"/>
              </w:rPr>
              <w:t>2</w:t>
            </w:r>
            <w:r w:rsidR="00E10A54" w:rsidRPr="00634D54">
              <w:rPr>
                <w:sz w:val="24"/>
              </w:rPr>
              <w:t>4</w:t>
            </w:r>
            <w:r w:rsidRPr="00634D54">
              <w:rPr>
                <w:sz w:val="24"/>
              </w:rPr>
              <w:t>,</w:t>
            </w:r>
            <w:r w:rsidRPr="00634D54">
              <w:rPr>
                <w:spacing w:val="-1"/>
                <w:sz w:val="24"/>
              </w:rPr>
              <w:t xml:space="preserve"> </w:t>
            </w:r>
            <w:r w:rsidRPr="00634D54">
              <w:rPr>
                <w:spacing w:val="-4"/>
                <w:sz w:val="24"/>
              </w:rPr>
              <w:t>202</w:t>
            </w:r>
            <w:r w:rsidR="00E10A54" w:rsidRPr="00634D54">
              <w:rPr>
                <w:spacing w:val="-4"/>
                <w:sz w:val="24"/>
              </w:rPr>
              <w:t>4</w:t>
            </w:r>
          </w:p>
        </w:tc>
      </w:tr>
    </w:tbl>
    <w:p w14:paraId="4E5B5219" w14:textId="77777777" w:rsidR="00194832" w:rsidRDefault="00194832">
      <w:pPr>
        <w:pStyle w:val="TableParagraph"/>
        <w:spacing w:line="257" w:lineRule="exact"/>
        <w:rPr>
          <w:sz w:val="24"/>
        </w:rPr>
        <w:sectPr w:rsidR="00194832" w:rsidSect="00112B43">
          <w:headerReference w:type="default" r:id="rId9"/>
          <w:footerReference w:type="even" r:id="rId10"/>
          <w:footerReference w:type="default" r:id="rId11"/>
          <w:type w:val="continuous"/>
          <w:pgSz w:w="11910" w:h="16840"/>
          <w:pgMar w:top="800" w:right="992" w:bottom="640" w:left="1417" w:header="584" w:footer="450" w:gutter="0"/>
          <w:pgNumType w:start="149"/>
          <w:cols w:space="720"/>
        </w:sectPr>
      </w:pPr>
    </w:p>
    <w:p w14:paraId="08E63F0E" w14:textId="77777777" w:rsidR="00926C49" w:rsidRDefault="002311B1" w:rsidP="00FB73BB">
      <w:pPr>
        <w:pStyle w:val="Heading1"/>
        <w:jc w:val="both"/>
        <w:rPr>
          <w:color w:val="7030A0"/>
          <w:spacing w:val="-2"/>
        </w:rPr>
        <w:sectPr w:rsidR="00926C49" w:rsidSect="001F1F79">
          <w:type w:val="continuous"/>
          <w:pgSz w:w="11910" w:h="16840"/>
          <w:pgMar w:top="1440" w:right="1440" w:bottom="1440" w:left="1440" w:header="584" w:footer="450" w:gutter="0"/>
          <w:cols w:space="262"/>
          <w:docGrid w:linePitch="299"/>
        </w:sectPr>
      </w:pPr>
      <w:r w:rsidRPr="00D807A1">
        <w:rPr>
          <w:noProof/>
        </w:rPr>
        <mc:AlternateContent>
          <mc:Choice Requires="wpg">
            <w:drawing>
              <wp:anchor distT="0" distB="0" distL="0" distR="0" simplePos="0" relativeHeight="251658240" behindDoc="0" locked="0" layoutInCell="1" allowOverlap="1" wp14:anchorId="4E5B52B6" wp14:editId="4E5B52B7">
                <wp:simplePos x="0" y="0"/>
                <wp:positionH relativeFrom="page">
                  <wp:posOffset>0</wp:posOffset>
                </wp:positionH>
                <wp:positionV relativeFrom="page">
                  <wp:posOffset>624839</wp:posOffset>
                </wp:positionV>
                <wp:extent cx="7562215" cy="3263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326390"/>
                          <a:chOff x="0" y="0"/>
                          <a:chExt cx="7562215" cy="326390"/>
                        </a:xfrm>
                      </wpg:grpSpPr>
                      <wps:wsp>
                        <wps:cNvPr id="5" name="Graphic 5"/>
                        <wps:cNvSpPr/>
                        <wps:spPr>
                          <a:xfrm>
                            <a:off x="0" y="6095"/>
                            <a:ext cx="7562215" cy="314325"/>
                          </a:xfrm>
                          <a:custGeom>
                            <a:avLst/>
                            <a:gdLst/>
                            <a:ahLst/>
                            <a:cxnLst/>
                            <a:rect l="l" t="t" r="r" b="b"/>
                            <a:pathLst>
                              <a:path w="7562215" h="314325">
                                <a:moveTo>
                                  <a:pt x="0" y="313944"/>
                                </a:moveTo>
                                <a:lnTo>
                                  <a:pt x="0" y="0"/>
                                </a:lnTo>
                                <a:lnTo>
                                  <a:pt x="7562088" y="0"/>
                                </a:lnTo>
                                <a:lnTo>
                                  <a:pt x="7562088" y="313944"/>
                                </a:lnTo>
                                <a:lnTo>
                                  <a:pt x="0" y="313944"/>
                                </a:lnTo>
                                <a:close/>
                              </a:path>
                            </a:pathLst>
                          </a:custGeom>
                          <a:solidFill>
                            <a:srgbClr val="7349A4"/>
                          </a:solidFill>
                        </wps:spPr>
                        <wps:bodyPr wrap="square" lIns="0" tIns="0" rIns="0" bIns="0" rtlCol="0">
                          <a:prstTxWarp prst="textNoShape">
                            <a:avLst/>
                          </a:prstTxWarp>
                          <a:noAutofit/>
                        </wps:bodyPr>
                      </wps:wsp>
                      <wps:wsp>
                        <wps:cNvPr id="6" name="Graphic 6"/>
                        <wps:cNvSpPr/>
                        <wps:spPr>
                          <a:xfrm>
                            <a:off x="0" y="0"/>
                            <a:ext cx="7562215" cy="326390"/>
                          </a:xfrm>
                          <a:custGeom>
                            <a:avLst/>
                            <a:gdLst/>
                            <a:ahLst/>
                            <a:cxnLst/>
                            <a:rect l="l" t="t" r="r" b="b"/>
                            <a:pathLst>
                              <a:path w="7562215" h="326390">
                                <a:moveTo>
                                  <a:pt x="7562088" y="320040"/>
                                </a:moveTo>
                                <a:lnTo>
                                  <a:pt x="0" y="320040"/>
                                </a:lnTo>
                                <a:lnTo>
                                  <a:pt x="0" y="326136"/>
                                </a:lnTo>
                                <a:lnTo>
                                  <a:pt x="7562088" y="326136"/>
                                </a:lnTo>
                                <a:lnTo>
                                  <a:pt x="7562088" y="320040"/>
                                </a:lnTo>
                                <a:close/>
                              </a:path>
                              <a:path w="7562215" h="326390">
                                <a:moveTo>
                                  <a:pt x="7562088" y="0"/>
                                </a:moveTo>
                                <a:lnTo>
                                  <a:pt x="0" y="0"/>
                                </a:lnTo>
                                <a:lnTo>
                                  <a:pt x="0" y="6096"/>
                                </a:lnTo>
                                <a:lnTo>
                                  <a:pt x="7562088" y="6096"/>
                                </a:lnTo>
                                <a:lnTo>
                                  <a:pt x="7562088"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6095"/>
                            <a:ext cx="7562215" cy="314325"/>
                          </a:xfrm>
                          <a:prstGeom prst="rect">
                            <a:avLst/>
                          </a:prstGeom>
                        </wps:spPr>
                        <wps:txbx>
                          <w:txbxContent>
                            <w:p w14:paraId="4E5B52CE" w14:textId="0AF83865" w:rsidR="00194832" w:rsidRPr="007347C6" w:rsidRDefault="00C33A2F">
                              <w:pPr>
                                <w:spacing w:before="107"/>
                                <w:ind w:left="1380"/>
                                <w:rPr>
                                  <w:b/>
                                  <w:bCs/>
                                  <w:sz w:val="24"/>
                                </w:rPr>
                              </w:pPr>
                              <w:r>
                                <w:rPr>
                                  <w:b/>
                                  <w:bCs/>
                                  <w:color w:val="FFFFFF"/>
                                  <w:sz w:val="24"/>
                                </w:rPr>
                                <w:t>ORIGINAL ARTICLE</w:t>
                              </w:r>
                            </w:p>
                          </w:txbxContent>
                        </wps:txbx>
                        <wps:bodyPr wrap="square" lIns="0" tIns="0" rIns="0" bIns="0" rtlCol="0">
                          <a:noAutofit/>
                        </wps:bodyPr>
                      </wps:wsp>
                    </wpg:wgp>
                  </a:graphicData>
                </a:graphic>
              </wp:anchor>
            </w:drawing>
          </mc:Choice>
          <mc:Fallback>
            <w:pict>
              <v:group w14:anchorId="4E5B52B6" id="Group 4" o:spid="_x0000_s1026" style="position:absolute;left:0;text-align:left;margin-left:0;margin-top:49.2pt;width:595.45pt;height:25.7pt;z-index:251658240;mso-wrap-distance-left:0;mso-wrap-distance-right:0;mso-position-horizontal-relative:page;mso-position-vertical-relative:page" coordsize="75622,3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">
                <v:shape id="Graphic 5" o:spid="_x0000_s1027" style="position:absolute;top:60;width:75622;height:3144;visibility:visible;mso-wrap-style:square;v-text-anchor:top" coordsize="7562215,314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" path="m,313944l,,7562088,r,313944l,313944xe" fillcolor="#7349a4" stroked="f">
                  <v:path arrowok="t"/>
                </v:shape>
                <v:shape id="Graphic 6" o:spid="_x0000_s1028" style="position:absolute;width:75622;height:3263;visibility:visible;mso-wrap-style:square;v-text-anchor:top" coordsize="7562215,326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" path="m7562088,320040l,320040r,6096l7562088,326136r,-6096xem7562088,l,,,6096r7562088,l7562088,xe" fillcolor="black" stroked="f">
                  <v:path arrowok="t"/>
                </v:shape>
                <v:shapetype id="_x0000_t202" coordsize="21600,21600" o:spt="202" path="m,l,21600r21600,l21600,xe">
                  <v:stroke joinstyle="miter"/>
                  <v:path gradientshapeok="t" o:connecttype="rect"/>
                </v:shapetype>
                <v:shape id="Textbox 7" o:spid="_x0000_s1029" type="#_x0000_t202" style="position:absolute;top:60;width:75622;height:3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4E5B52CE" w14:textId="0AF83865" w:rsidR="00194832" w:rsidRPr="007347C6" w:rsidRDefault="00C33A2F">
                        <w:pPr>
                          <w:spacing w:before="107"/>
                          <w:ind w:left="1380"/>
                          <w:rPr>
                            <w:b/>
                            <w:bCs/>
                            <w:sz w:val="24"/>
                          </w:rPr>
                        </w:pPr>
                        <w:r>
                          <w:rPr>
                            <w:b/>
                            <w:bCs/>
                            <w:color w:val="FFFFFF"/>
                            <w:sz w:val="24"/>
                          </w:rPr>
                          <w:t>ORIGINAL ARTICLE</w:t>
                        </w:r>
                      </w:p>
                    </w:txbxContent>
                  </v:textbox>
                </v:shape>
                <w10:wrap anchorx="page" anchory="page"/>
              </v:group>
            </w:pict>
          </mc:Fallback>
        </mc:AlternateContent>
      </w:r>
      <w:r w:rsidRPr="00D807A1">
        <w:rPr>
          <w:color w:val="7030A0"/>
          <w:spacing w:val="-2"/>
        </w:rPr>
        <w:t>INTRODUCTION</w:t>
      </w:r>
    </w:p>
    <w:p w14:paraId="2AD5C741" w14:textId="0F1C0ECD" w:rsidR="00547C9A" w:rsidRPr="00547C9A" w:rsidRDefault="00547C9A" w:rsidP="00926C49">
      <w:pPr>
        <w:pStyle w:val="Heading1"/>
        <w:ind w:left="0"/>
        <w:jc w:val="both"/>
        <w:rPr>
          <w:b w:val="0"/>
          <w:bCs w:val="0"/>
        </w:rPr>
      </w:pPr>
      <w:r w:rsidRPr="00547C9A">
        <w:rPr>
          <w:b w:val="0"/>
          <w:bCs w:val="0"/>
        </w:rPr>
        <w:lastRenderedPageBreak/>
        <w:t xml:space="preserve">Benign Paroxysmal Positional Vertigo (BPPV) is a common inner ear disorder characterized by the displacement of otoconial debris into the semicircular canals, leading to episodes of vertigo triggered by head movements. The major symptom of BPPV is repetitive positional vertigo, which is an illusionary impression of motion caused by moving </w:t>
      </w:r>
      <w:r w:rsidR="00D516A8">
        <w:rPr>
          <w:b w:val="0"/>
          <w:bCs w:val="0"/>
        </w:rPr>
        <w:t>the head relative to gravity.</w:t>
      </w:r>
      <w:r w:rsidR="00D516A8" w:rsidRPr="00D516A8">
        <w:rPr>
          <w:b w:val="0"/>
          <w:bCs w:val="0"/>
          <w:vertAlign w:val="superscript"/>
        </w:rPr>
        <w:t>1-3</w:t>
      </w:r>
      <w:r w:rsidRPr="00547C9A">
        <w:rPr>
          <w:b w:val="0"/>
          <w:bCs w:val="0"/>
        </w:rPr>
        <w:t xml:space="preserve"> Despite being a benign condition, BPPV significantly impacts an individual's quality of life due to the recurrent nature of symptoms and ass</w:t>
      </w:r>
      <w:r w:rsidR="00D516A8">
        <w:rPr>
          <w:b w:val="0"/>
          <w:bCs w:val="0"/>
        </w:rPr>
        <w:t>ociated psychological concerns.</w:t>
      </w:r>
      <w:r w:rsidRPr="00D516A8">
        <w:rPr>
          <w:b w:val="0"/>
          <w:bCs w:val="0"/>
          <w:vertAlign w:val="superscript"/>
        </w:rPr>
        <w:t>4</w:t>
      </w:r>
      <w:r w:rsidRPr="00547C9A">
        <w:rPr>
          <w:b w:val="0"/>
          <w:bCs w:val="0"/>
        </w:rPr>
        <w:t xml:space="preserve"> The prevalence of BPPV varies among different populations, with posterior semicircular canal involvement b</w:t>
      </w:r>
      <w:r w:rsidR="00D516A8">
        <w:rPr>
          <w:b w:val="0"/>
          <w:bCs w:val="0"/>
        </w:rPr>
        <w:t>eing the most common subtype.</w:t>
      </w:r>
      <w:r w:rsidR="00D516A8" w:rsidRPr="00D516A8">
        <w:rPr>
          <w:b w:val="0"/>
          <w:bCs w:val="0"/>
          <w:vertAlign w:val="superscript"/>
        </w:rPr>
        <w:t>5</w:t>
      </w:r>
      <w:r w:rsidRPr="00547C9A">
        <w:rPr>
          <w:b w:val="0"/>
          <w:bCs w:val="0"/>
        </w:rPr>
        <w:t xml:space="preserve"> Vestibular disorders, including BPPV, often manifest with symptoms such as dizziness, vertigo, and unsteadiness, further affecting an individual's daily functioning and emotional well-being. The direction of the nystagmus is directly related to semicircular canal being stimulated because of the direct nerve connection of each can</w:t>
      </w:r>
      <w:r w:rsidR="00D516A8">
        <w:rPr>
          <w:b w:val="0"/>
          <w:bCs w:val="0"/>
        </w:rPr>
        <w:t>al to 2 separate eye muscles.</w:t>
      </w:r>
      <w:r w:rsidR="00D516A8" w:rsidRPr="00D516A8">
        <w:rPr>
          <w:b w:val="0"/>
          <w:bCs w:val="0"/>
          <w:vertAlign w:val="superscript"/>
        </w:rPr>
        <w:t>6</w:t>
      </w:r>
      <w:r w:rsidRPr="00547C9A">
        <w:rPr>
          <w:b w:val="0"/>
          <w:bCs w:val="0"/>
        </w:rPr>
        <w:t xml:space="preserve"> However, the extent to which undiagnosed BPPV contributes to the overall burden of vestibular disorders and its relationship with qua</w:t>
      </w:r>
      <w:r w:rsidR="00D516A8">
        <w:rPr>
          <w:b w:val="0"/>
          <w:bCs w:val="0"/>
        </w:rPr>
        <w:t>lity of life remains unclear.</w:t>
      </w:r>
      <w:r w:rsidR="00D516A8" w:rsidRPr="00D516A8">
        <w:rPr>
          <w:b w:val="0"/>
          <w:bCs w:val="0"/>
          <w:vertAlign w:val="superscript"/>
        </w:rPr>
        <w:t>7</w:t>
      </w:r>
      <w:r w:rsidRPr="00547C9A">
        <w:rPr>
          <w:b w:val="0"/>
          <w:bCs w:val="0"/>
        </w:rPr>
        <w:t xml:space="preserve"> Vestibular disorders are problems of the vestibular system that cause physical impairment and poor quality of life. The most prevalent symptoms of these illnesses are dizzines</w:t>
      </w:r>
      <w:r w:rsidR="00D516A8">
        <w:rPr>
          <w:b w:val="0"/>
          <w:bCs w:val="0"/>
        </w:rPr>
        <w:t>s, vertigo, and unsteadiness.</w:t>
      </w:r>
      <w:r w:rsidR="00D516A8" w:rsidRPr="00D516A8">
        <w:rPr>
          <w:b w:val="0"/>
          <w:bCs w:val="0"/>
          <w:vertAlign w:val="superscript"/>
        </w:rPr>
        <w:t>8</w:t>
      </w:r>
    </w:p>
    <w:p w14:paraId="6649D364" w14:textId="40E4237B" w:rsidR="00547C9A" w:rsidRPr="00547C9A" w:rsidRDefault="00547C9A" w:rsidP="00FB73BB">
      <w:pPr>
        <w:pStyle w:val="Heading1"/>
        <w:jc w:val="both"/>
        <w:rPr>
          <w:b w:val="0"/>
          <w:bCs w:val="0"/>
        </w:rPr>
      </w:pPr>
      <w:r w:rsidRPr="00547C9A">
        <w:rPr>
          <w:b w:val="0"/>
          <w:bCs w:val="0"/>
        </w:rPr>
        <w:t>BPPV’s major symptom is repetitive positional vertigo, which is an illusionary impression of motion when the head is shifted relative to gravity.</w:t>
      </w:r>
      <w:r w:rsidR="00D516A8" w:rsidRPr="00D516A8">
        <w:rPr>
          <w:b w:val="0"/>
          <w:bCs w:val="0"/>
          <w:vertAlign w:val="superscript"/>
        </w:rPr>
        <w:t>9</w:t>
      </w:r>
      <w:r w:rsidRPr="00D516A8">
        <w:rPr>
          <w:b w:val="0"/>
          <w:bCs w:val="0"/>
          <w:vertAlign w:val="superscript"/>
        </w:rPr>
        <w:t xml:space="preserve"> </w:t>
      </w:r>
      <w:r w:rsidRPr="00547C9A">
        <w:rPr>
          <w:b w:val="0"/>
          <w:bCs w:val="0"/>
        </w:rPr>
        <w:t>Other factors associated with quality of life disturbance in BPPV patients included persistent anxiety about avoiding falls during physical activities, greater discomfort on buildings and elevated attitudes, and oscillopsia during daily activities whil</w:t>
      </w:r>
      <w:r w:rsidR="00D516A8">
        <w:rPr>
          <w:b w:val="0"/>
          <w:bCs w:val="0"/>
        </w:rPr>
        <w:t>e travelling.</w:t>
      </w:r>
      <w:r w:rsidR="00D516A8" w:rsidRPr="00D516A8">
        <w:rPr>
          <w:b w:val="0"/>
          <w:bCs w:val="0"/>
          <w:vertAlign w:val="superscript"/>
        </w:rPr>
        <w:t>10</w:t>
      </w:r>
    </w:p>
    <w:p w14:paraId="393F87CF" w14:textId="2A5111D2" w:rsidR="00547C9A" w:rsidRPr="00547C9A" w:rsidRDefault="00547C9A" w:rsidP="00FB73BB">
      <w:pPr>
        <w:pStyle w:val="Heading1"/>
        <w:jc w:val="both"/>
        <w:rPr>
          <w:b w:val="0"/>
          <w:bCs w:val="0"/>
        </w:rPr>
      </w:pPr>
      <w:r w:rsidRPr="00547C9A">
        <w:rPr>
          <w:b w:val="0"/>
          <w:bCs w:val="0"/>
        </w:rPr>
        <w:t>By investigating the prevalence of undiagnosed BPPV and its association with quality of life in asymptomati</w:t>
      </w:r>
      <w:r w:rsidR="00D516A8">
        <w:rPr>
          <w:b w:val="0"/>
          <w:bCs w:val="0"/>
        </w:rPr>
        <w:t>c young healthy individuals.</w:t>
      </w:r>
      <w:r w:rsidR="00D516A8" w:rsidRPr="00D516A8">
        <w:rPr>
          <w:b w:val="0"/>
          <w:bCs w:val="0"/>
          <w:vertAlign w:val="superscript"/>
        </w:rPr>
        <w:t>11</w:t>
      </w:r>
      <w:r w:rsidRPr="00547C9A">
        <w:rPr>
          <w:b w:val="0"/>
          <w:bCs w:val="0"/>
        </w:rPr>
        <w:t xml:space="preserve"> In contrast to younger individuals with BPPV, older adults suffering from the same condition complain of less </w:t>
      </w:r>
      <w:r w:rsidRPr="00547C9A">
        <w:rPr>
          <w:b w:val="0"/>
          <w:bCs w:val="0"/>
        </w:rPr>
        <w:t>rotatory vertigo and more often of nonspecific</w:t>
      </w:r>
      <w:r w:rsidR="00D516A8">
        <w:rPr>
          <w:b w:val="0"/>
          <w:bCs w:val="0"/>
        </w:rPr>
        <w:t xml:space="preserve"> unsteadiness or dizziness.</w:t>
      </w:r>
      <w:r w:rsidR="00D516A8" w:rsidRPr="00D516A8">
        <w:rPr>
          <w:b w:val="0"/>
          <w:bCs w:val="0"/>
          <w:vertAlign w:val="superscript"/>
        </w:rPr>
        <w:t>12</w:t>
      </w:r>
      <w:r w:rsidRPr="00547C9A">
        <w:rPr>
          <w:b w:val="0"/>
          <w:bCs w:val="0"/>
        </w:rPr>
        <w:t xml:space="preserve"> Understanding the prevalence and impact of BPPV in this population is crucial for early detection, intervention, and preventi</w:t>
      </w:r>
      <w:r w:rsidR="00D516A8">
        <w:rPr>
          <w:b w:val="0"/>
          <w:bCs w:val="0"/>
        </w:rPr>
        <w:t>on of long-term complications.</w:t>
      </w:r>
      <w:r w:rsidR="00D516A8" w:rsidRPr="00D516A8">
        <w:rPr>
          <w:b w:val="0"/>
          <w:bCs w:val="0"/>
          <w:vertAlign w:val="superscript"/>
        </w:rPr>
        <w:t>13</w:t>
      </w:r>
      <w:r w:rsidRPr="00547C9A">
        <w:rPr>
          <w:b w:val="0"/>
          <w:bCs w:val="0"/>
        </w:rPr>
        <w:t xml:space="preserve"> By examining the relationship between BPPV and quality of life, this study seeks to provide valuable insights into the management and care of individuals affected by this prevalent vestibular disorder. Dislodged otoconia may adhere to the cupula (</w:t>
      </w:r>
      <w:proofErr w:type="spellStart"/>
      <w:r w:rsidRPr="00547C9A">
        <w:rPr>
          <w:b w:val="0"/>
          <w:bCs w:val="0"/>
        </w:rPr>
        <w:t>cupulolithiasis</w:t>
      </w:r>
      <w:proofErr w:type="spellEnd"/>
      <w:r w:rsidRPr="00547C9A">
        <w:rPr>
          <w:b w:val="0"/>
          <w:bCs w:val="0"/>
        </w:rPr>
        <w:t>) or more commonly is free floating (</w:t>
      </w:r>
      <w:proofErr w:type="spellStart"/>
      <w:r w:rsidRPr="00547C9A">
        <w:rPr>
          <w:b w:val="0"/>
          <w:bCs w:val="0"/>
        </w:rPr>
        <w:t>canalithiasis</w:t>
      </w:r>
      <w:proofErr w:type="spellEnd"/>
      <w:r w:rsidRPr="00547C9A">
        <w:rPr>
          <w:b w:val="0"/>
          <w:bCs w:val="0"/>
        </w:rPr>
        <w:t xml:space="preserve">) in the canal as evidenced by intraoperative findings. </w:t>
      </w:r>
    </w:p>
    <w:p w14:paraId="0D3A4F1D" w14:textId="523A1EBA" w:rsidR="00547C9A" w:rsidRDefault="00547C9A" w:rsidP="00FB73BB">
      <w:pPr>
        <w:pStyle w:val="Heading1"/>
        <w:jc w:val="both"/>
        <w:rPr>
          <w:b w:val="0"/>
          <w:bCs w:val="0"/>
        </w:rPr>
      </w:pPr>
      <w:r w:rsidRPr="00547C9A">
        <w:rPr>
          <w:b w:val="0"/>
          <w:bCs w:val="0"/>
        </w:rPr>
        <w:t>In 2021, a study was conducted to identify high-risk groups for symptom recurrence by examining the relationship between comorbidities such as benign paroxysmal positional vertigo (BPPV) and conditions such as hypertension, diabetes, thyroid disorders, hearing loss, hyperlipid</w:t>
      </w:r>
      <w:r w:rsidR="00D516A8">
        <w:rPr>
          <w:b w:val="0"/>
          <w:bCs w:val="0"/>
        </w:rPr>
        <w:t>emia, and vitamin D deficiency.</w:t>
      </w:r>
      <w:r w:rsidR="00D516A8" w:rsidRPr="00D516A8">
        <w:rPr>
          <w:b w:val="0"/>
          <w:bCs w:val="0"/>
          <w:vertAlign w:val="superscript"/>
        </w:rPr>
        <w:t>14</w:t>
      </w:r>
      <w:r w:rsidRPr="00547C9A">
        <w:rPr>
          <w:b w:val="0"/>
          <w:bCs w:val="0"/>
        </w:rPr>
        <w:t xml:space="preserve"> </w:t>
      </w:r>
      <w:r w:rsidR="00D516A8" w:rsidRPr="00547C9A">
        <w:rPr>
          <w:b w:val="0"/>
          <w:bCs w:val="0"/>
        </w:rPr>
        <w:t>approximately</w:t>
      </w:r>
      <w:r w:rsidRPr="00547C9A">
        <w:rPr>
          <w:b w:val="0"/>
          <w:bCs w:val="0"/>
        </w:rPr>
        <w:t xml:space="preserve"> 45.1% of patients with BPPV exhibited symptoms of hypertension, and they were also more prone to being hypertensive. BPPV and its recurrence have been associated to an increased risk of type 2 diabetes. As a result, in addition to repositioning procedures, patients with BPPV should be evaluated and treated for these comorbidities.</w:t>
      </w:r>
      <w:r w:rsidR="00D516A8" w:rsidRPr="00D516A8">
        <w:rPr>
          <w:b w:val="0"/>
          <w:bCs w:val="0"/>
          <w:vertAlign w:val="superscript"/>
        </w:rPr>
        <w:t>15</w:t>
      </w:r>
      <w:r w:rsidRPr="00547C9A">
        <w:rPr>
          <w:b w:val="0"/>
          <w:bCs w:val="0"/>
        </w:rPr>
        <w:t xml:space="preserve"> In 2022, a study was done with the goal of examining risk factors for residual vertigo (RD) in middle-aged and older people who had successfully treated benign paroxysmal positional vertigo (BPPV). 181 BPPV patients were included after a successful </w:t>
      </w:r>
      <w:proofErr w:type="spellStart"/>
      <w:r w:rsidRPr="00547C9A">
        <w:rPr>
          <w:b w:val="0"/>
          <w:bCs w:val="0"/>
        </w:rPr>
        <w:t>canalith</w:t>
      </w:r>
      <w:proofErr w:type="spellEnd"/>
      <w:r w:rsidRPr="00547C9A">
        <w:rPr>
          <w:b w:val="0"/>
          <w:bCs w:val="0"/>
        </w:rPr>
        <w:t xml:space="preserve"> repositioning maneuver (CRM) treatment. All patients were divided into two groups: the middle-aged (aged 45-59 years, n = 101) and the older (aged 60 and up, n = 80).Clinical variables included age, gender, the number of maneuvers, the involved canal, the affected side, RD, comorbidities, the dizzy handicap questionnaire score, and the 7-item scale score for generalized anxiety disorder. The older group had a significantly higher incidence of RD than the middle-aged group (p = 0.033) were independently related with RD in middle-aged and older adults. </w:t>
      </w:r>
      <w:r w:rsidRPr="00547C9A">
        <w:rPr>
          <w:b w:val="0"/>
          <w:bCs w:val="0"/>
        </w:rPr>
        <w:lastRenderedPageBreak/>
        <w:t>Following effective BPPV therapy, older people ha</w:t>
      </w:r>
      <w:r w:rsidR="00D516A8">
        <w:rPr>
          <w:b w:val="0"/>
          <w:bCs w:val="0"/>
        </w:rPr>
        <w:t>d a higher incidence of RD .</w:t>
      </w:r>
      <w:r w:rsidR="00D516A8" w:rsidRPr="00D516A8">
        <w:rPr>
          <w:b w:val="0"/>
          <w:bCs w:val="0"/>
          <w:vertAlign w:val="superscript"/>
        </w:rPr>
        <w:t>13</w:t>
      </w:r>
      <w:r w:rsidRPr="00547C9A">
        <w:rPr>
          <w:b w:val="0"/>
          <w:bCs w:val="0"/>
        </w:rPr>
        <w:t xml:space="preserve"> This study aims to address the research gap that while the impact of Benign Paroxysmal Positional Vertigo (BPPV) on quality of life has been acknowledged, the prevalence of undiagnosed BPPV in individuals with low quality of life remains unexplored. Further investigation is needed to understand how undiagnosed BPPV affects various demographic groups and to develop targeted interventions to improve their quality of life.</w:t>
      </w:r>
    </w:p>
    <w:p w14:paraId="4E5B5228" w14:textId="10F9C23C" w:rsidR="00194832" w:rsidRPr="00D807A1" w:rsidRDefault="002311B1" w:rsidP="00FB73BB">
      <w:pPr>
        <w:pStyle w:val="Heading1"/>
        <w:jc w:val="both"/>
      </w:pPr>
      <w:r w:rsidRPr="00D807A1">
        <w:rPr>
          <w:color w:val="7030A0"/>
        </w:rPr>
        <w:t>MATERIAL</w:t>
      </w:r>
      <w:r w:rsidRPr="00D807A1">
        <w:rPr>
          <w:color w:val="7030A0"/>
          <w:spacing w:val="-2"/>
        </w:rPr>
        <w:t xml:space="preserve"> </w:t>
      </w:r>
      <w:r w:rsidRPr="00D807A1">
        <w:rPr>
          <w:color w:val="7030A0"/>
        </w:rPr>
        <w:t>AND</w:t>
      </w:r>
      <w:r w:rsidRPr="00D807A1">
        <w:rPr>
          <w:color w:val="7030A0"/>
          <w:spacing w:val="-1"/>
        </w:rPr>
        <w:t xml:space="preserve"> </w:t>
      </w:r>
      <w:r w:rsidRPr="00D807A1">
        <w:rPr>
          <w:color w:val="7030A0"/>
          <w:spacing w:val="-2"/>
        </w:rPr>
        <w:t>METHODS</w:t>
      </w:r>
    </w:p>
    <w:p w14:paraId="3152A248" w14:textId="6011A2C7" w:rsidR="00D516A8" w:rsidRPr="00D516A8" w:rsidRDefault="00D516A8" w:rsidP="00FB73BB">
      <w:pPr>
        <w:pStyle w:val="Heading1"/>
        <w:jc w:val="both"/>
        <w:rPr>
          <w:b w:val="0"/>
          <w:bCs w:val="0"/>
        </w:rPr>
      </w:pPr>
      <w:r w:rsidRPr="00D516A8">
        <w:rPr>
          <w:b w:val="0"/>
          <w:bCs w:val="0"/>
        </w:rPr>
        <w:t>The sample size of 219 participants was calculated through the WHO sample size calculator, considering factors like anticipated BPPV prevalence, desired precision, and confidence level. Participants were selected via convenient sampling, focusing on asymptomatic young healthy adult’s age range from 18 to 40 and those at high risk of falling. Individuals with certain medical conditions like back pain, vestibular illnesses, musculoskeletal diseases, paralysis, or stroke</w:t>
      </w:r>
      <w:r>
        <w:rPr>
          <w:b w:val="0"/>
          <w:bCs w:val="0"/>
        </w:rPr>
        <w:t xml:space="preserve"> </w:t>
      </w:r>
      <w:r w:rsidRPr="00D516A8">
        <w:rPr>
          <w:b w:val="0"/>
          <w:bCs w:val="0"/>
        </w:rPr>
        <w:t>were excluded. And the study was conducted in a variety of settings including universities, community centers, and public health facilities.</w:t>
      </w:r>
    </w:p>
    <w:p w14:paraId="4A286CD6" w14:textId="53EA088D" w:rsidR="00D516A8" w:rsidRPr="00D516A8" w:rsidRDefault="00D516A8" w:rsidP="00FB73BB">
      <w:pPr>
        <w:pStyle w:val="Heading1"/>
        <w:jc w:val="both"/>
        <w:rPr>
          <w:b w:val="0"/>
          <w:bCs w:val="0"/>
        </w:rPr>
      </w:pPr>
      <w:r w:rsidRPr="00D516A8">
        <w:rPr>
          <w:b w:val="0"/>
          <w:bCs w:val="0"/>
        </w:rPr>
        <w:t>Data was collected through a structured questionnaire. The Dix-Hall pike maneuver and Spin Roll Test were performed to assess vertigo symptoms. The questionnaire covers demographic information, medical history, vertigo episodes, triggers, duration, severity, and validated scales assessing quality of life.</w:t>
      </w:r>
      <w:r>
        <w:rPr>
          <w:b w:val="0"/>
          <w:bCs w:val="0"/>
        </w:rPr>
        <w:t xml:space="preserve"> </w:t>
      </w:r>
      <w:r w:rsidRPr="00D516A8">
        <w:rPr>
          <w:b w:val="0"/>
          <w:bCs w:val="0"/>
        </w:rPr>
        <w:t>The risk of bias and the methodological quality of all incl</w:t>
      </w:r>
      <w:r>
        <w:rPr>
          <w:b w:val="0"/>
          <w:bCs w:val="0"/>
        </w:rPr>
        <w:t>uded articles were examined.</w:t>
      </w:r>
      <w:r w:rsidRPr="00D516A8">
        <w:rPr>
          <w:b w:val="0"/>
          <w:bCs w:val="0"/>
          <w:vertAlign w:val="superscript"/>
        </w:rPr>
        <w:t>16</w:t>
      </w:r>
    </w:p>
    <w:p w14:paraId="0BE42EED" w14:textId="4BED730B" w:rsidR="00D516A8" w:rsidRPr="00D516A8" w:rsidRDefault="00D516A8" w:rsidP="00FB73BB">
      <w:pPr>
        <w:pStyle w:val="Heading1"/>
        <w:jc w:val="both"/>
        <w:rPr>
          <w:b w:val="0"/>
          <w:bCs w:val="0"/>
        </w:rPr>
      </w:pPr>
      <w:r w:rsidRPr="00D516A8">
        <w:rPr>
          <w:b w:val="0"/>
          <w:bCs w:val="0"/>
        </w:rPr>
        <w:t>A comprehensive literature review was conducted to gather relevant information on BPPV prevalence and</w:t>
      </w:r>
      <w:r>
        <w:rPr>
          <w:b w:val="0"/>
          <w:bCs w:val="0"/>
        </w:rPr>
        <w:t xml:space="preserve"> its impact on quality of life.</w:t>
      </w:r>
      <w:r w:rsidRPr="00D516A8">
        <w:rPr>
          <w:b w:val="0"/>
          <w:bCs w:val="0"/>
          <w:vertAlign w:val="superscript"/>
        </w:rPr>
        <w:t>17</w:t>
      </w:r>
      <w:r w:rsidRPr="00D516A8">
        <w:rPr>
          <w:b w:val="0"/>
          <w:bCs w:val="0"/>
        </w:rPr>
        <w:t xml:space="preserve"> Primary data was collected through the structured questionnaire, administered after obtaining informed consent from participants recruited from various settings.</w:t>
      </w:r>
    </w:p>
    <w:p w14:paraId="4BE90420" w14:textId="116EFF71" w:rsidR="00D516A8" w:rsidRPr="00D516A8" w:rsidRDefault="00D516A8" w:rsidP="00FB73BB">
      <w:pPr>
        <w:pStyle w:val="Heading1"/>
        <w:jc w:val="both"/>
        <w:rPr>
          <w:b w:val="0"/>
          <w:bCs w:val="0"/>
        </w:rPr>
      </w:pPr>
      <w:r w:rsidRPr="00D516A8">
        <w:rPr>
          <w:b w:val="0"/>
          <w:bCs w:val="0"/>
        </w:rPr>
        <w:t xml:space="preserve">Data was analyzed using SPSS version 22, employing descriptive statistics for summarizing demographic information, BPPV prevalence, and quality of life scores. Inferential statistics such as chi-square </w:t>
      </w:r>
      <w:r w:rsidRPr="00D516A8">
        <w:rPr>
          <w:b w:val="0"/>
          <w:bCs w:val="0"/>
        </w:rPr>
        <w:t>testing and regression analysis was used to explore the relationship between BPPV and quality of life. Poor outcomes were defined as any remaining vertigo, dizziness, unsteadiness, and/or suboptimal changes in objective assessments despite adequate repositioning ma</w:t>
      </w:r>
      <w:r>
        <w:rPr>
          <w:b w:val="0"/>
          <w:bCs w:val="0"/>
        </w:rPr>
        <w:t>neuvers and BPPV resolution.</w:t>
      </w:r>
      <w:r w:rsidRPr="00D516A8">
        <w:rPr>
          <w:b w:val="0"/>
          <w:bCs w:val="0"/>
          <w:vertAlign w:val="superscript"/>
        </w:rPr>
        <w:t>18</w:t>
      </w:r>
    </w:p>
    <w:p w14:paraId="2F941D62" w14:textId="5E5ACA7B" w:rsidR="00D516A8" w:rsidRDefault="00D516A8" w:rsidP="00FB73BB">
      <w:pPr>
        <w:pStyle w:val="Heading1"/>
        <w:jc w:val="both"/>
        <w:rPr>
          <w:b w:val="0"/>
          <w:bCs w:val="0"/>
        </w:rPr>
      </w:pPr>
      <w:r w:rsidRPr="00D516A8">
        <w:rPr>
          <w:b w:val="0"/>
          <w:bCs w:val="0"/>
        </w:rPr>
        <w:t>The study adheres to ethical standards, ensuring Participant rights and privacy pr</w:t>
      </w:r>
      <w:r>
        <w:rPr>
          <w:b w:val="0"/>
          <w:bCs w:val="0"/>
        </w:rPr>
        <w:t xml:space="preserve">otection. Informed consent was </w:t>
      </w:r>
      <w:r w:rsidRPr="00D516A8">
        <w:rPr>
          <w:b w:val="0"/>
          <w:bCs w:val="0"/>
        </w:rPr>
        <w:t>o</w:t>
      </w:r>
      <w:r>
        <w:rPr>
          <w:b w:val="0"/>
          <w:bCs w:val="0"/>
        </w:rPr>
        <w:t xml:space="preserve">btained, and participants were </w:t>
      </w:r>
      <w:r w:rsidRPr="00D516A8">
        <w:rPr>
          <w:b w:val="0"/>
          <w:bCs w:val="0"/>
        </w:rPr>
        <w:t>made aware of the study's objectives and potential risks, with the option to wi</w:t>
      </w:r>
      <w:r>
        <w:rPr>
          <w:b w:val="0"/>
          <w:bCs w:val="0"/>
        </w:rPr>
        <w:t>thdraw without consequences.</w:t>
      </w:r>
      <w:r w:rsidRPr="00D516A8">
        <w:rPr>
          <w:b w:val="0"/>
          <w:bCs w:val="0"/>
          <w:vertAlign w:val="superscript"/>
        </w:rPr>
        <w:t xml:space="preserve">19 </w:t>
      </w:r>
    </w:p>
    <w:p w14:paraId="285B2FD6" w14:textId="60380481" w:rsidR="00F96532" w:rsidRPr="00D807A1" w:rsidRDefault="00F96532" w:rsidP="00FB73BB">
      <w:pPr>
        <w:pStyle w:val="Heading1"/>
        <w:jc w:val="both"/>
        <w:rPr>
          <w:color w:val="7030A0"/>
          <w:spacing w:val="-2"/>
        </w:rPr>
      </w:pPr>
      <w:r w:rsidRPr="00D807A1">
        <w:rPr>
          <w:color w:val="7030A0"/>
          <w:spacing w:val="-2"/>
        </w:rPr>
        <w:t>RESULTS</w:t>
      </w:r>
    </w:p>
    <w:p w14:paraId="333F1EEA" w14:textId="0B9C9894" w:rsidR="00D516A8" w:rsidRPr="00753EC7" w:rsidRDefault="001F1F79" w:rsidP="00FB73BB">
      <w:pPr>
        <w:widowControl/>
        <w:autoSpaceDE/>
        <w:autoSpaceDN/>
        <w:jc w:val="both"/>
        <w:rPr>
          <w:sz w:val="24"/>
          <w:szCs w:val="24"/>
        </w:rPr>
      </w:pPr>
      <w:r>
        <w:rPr>
          <w:sz w:val="24"/>
          <w:szCs w:val="24"/>
        </w:rPr>
        <w:t>A total of 219 participant were recruited for this trial. There were 39 (17.8%) male and 180 (82.2 %) female population.</w:t>
      </w:r>
      <w:r w:rsidR="00753EC7">
        <w:rPr>
          <w:sz w:val="24"/>
          <w:szCs w:val="24"/>
        </w:rPr>
        <w:t xml:space="preserve"> </w:t>
      </w:r>
      <w:r w:rsidR="00753EC7" w:rsidRPr="00D516A8">
        <w:rPr>
          <w:bCs/>
          <w:sz w:val="24"/>
          <w:szCs w:val="24"/>
        </w:rPr>
        <w:t>This gender distribution indicates a significant imbalance, with females being the predominant group in the sample.</w:t>
      </w:r>
      <w:r>
        <w:rPr>
          <w:sz w:val="24"/>
          <w:szCs w:val="24"/>
        </w:rPr>
        <w:t xml:space="preserve"> The mean age of the participants was 23.06</w:t>
      </w:r>
      <w:r w:rsidR="00E72C7C" w:rsidRPr="00601FD5">
        <w:rPr>
          <w:sz w:val="24"/>
        </w:rPr>
        <w:t>±</w:t>
      </w:r>
      <w:r w:rsidR="00E72C7C">
        <w:rPr>
          <w:sz w:val="24"/>
        </w:rPr>
        <w:t xml:space="preserve">4.62 </w:t>
      </w:r>
      <w:r w:rsidR="00E72C7C">
        <w:rPr>
          <w:sz w:val="24"/>
          <w:szCs w:val="24"/>
        </w:rPr>
        <w:t xml:space="preserve">(mean </w:t>
      </w:r>
      <w:r w:rsidR="00E72C7C" w:rsidRPr="00601FD5">
        <w:rPr>
          <w:sz w:val="24"/>
        </w:rPr>
        <w:t>±</w:t>
      </w:r>
      <w:r w:rsidR="00E72C7C">
        <w:rPr>
          <w:sz w:val="24"/>
        </w:rPr>
        <w:t xml:space="preserve"> </w:t>
      </w:r>
      <w:proofErr w:type="spellStart"/>
      <w:r w:rsidR="00E72C7C">
        <w:rPr>
          <w:sz w:val="24"/>
        </w:rPr>
        <w:t>sd</w:t>
      </w:r>
      <w:proofErr w:type="spellEnd"/>
      <w:r w:rsidR="00E72C7C">
        <w:rPr>
          <w:sz w:val="24"/>
        </w:rPr>
        <w:t xml:space="preserve">) years. </w:t>
      </w:r>
      <w:r w:rsidR="00753EC7">
        <w:rPr>
          <w:sz w:val="24"/>
          <w:szCs w:val="24"/>
        </w:rPr>
        <w:t xml:space="preserve"> </w:t>
      </w:r>
      <w:r w:rsidR="00D516A8" w:rsidRPr="00D516A8">
        <w:rPr>
          <w:bCs/>
          <w:sz w:val="24"/>
          <w:szCs w:val="24"/>
        </w:rPr>
        <w:t>The participants were relatively young, with the majority falling close to the mean age of 23 years, and a moderate variability in age within the sample.</w:t>
      </w:r>
    </w:p>
    <w:p w14:paraId="511224CF" w14:textId="77777777" w:rsidR="00DC102F" w:rsidRDefault="00D516A8" w:rsidP="00FB73BB">
      <w:pPr>
        <w:widowControl/>
        <w:autoSpaceDE/>
        <w:autoSpaceDN/>
        <w:jc w:val="both"/>
        <w:rPr>
          <w:sz w:val="24"/>
          <w:szCs w:val="24"/>
        </w:rPr>
      </w:pPr>
      <w:proofErr w:type="gramStart"/>
      <w:r w:rsidRPr="00D516A8">
        <w:rPr>
          <w:bCs/>
          <w:sz w:val="24"/>
          <w:szCs w:val="24"/>
        </w:rPr>
        <w:t>The majority of</w:t>
      </w:r>
      <w:proofErr w:type="gramEnd"/>
      <w:r w:rsidRPr="00D516A8">
        <w:rPr>
          <w:bCs/>
          <w:sz w:val="24"/>
          <w:szCs w:val="24"/>
        </w:rPr>
        <w:t xml:space="preserve"> participants did not report feeling dizzy</w:t>
      </w:r>
      <w:r w:rsidR="00C81C06">
        <w:rPr>
          <w:bCs/>
          <w:sz w:val="24"/>
          <w:szCs w:val="24"/>
        </w:rPr>
        <w:t xml:space="preserve"> 124</w:t>
      </w:r>
      <w:r w:rsidRPr="00D516A8">
        <w:rPr>
          <w:bCs/>
          <w:sz w:val="24"/>
          <w:szCs w:val="24"/>
        </w:rPr>
        <w:t xml:space="preserve"> (56.6%) or like their surroundings were spinning (65.3%).</w:t>
      </w:r>
      <w:r w:rsidR="00C81C06">
        <w:rPr>
          <w:bCs/>
          <w:sz w:val="24"/>
          <w:szCs w:val="24"/>
        </w:rPr>
        <w:t xml:space="preserve"> </w:t>
      </w:r>
      <w:r w:rsidRPr="00D516A8">
        <w:rPr>
          <w:bCs/>
          <w:sz w:val="24"/>
          <w:szCs w:val="24"/>
        </w:rPr>
        <w:t>Roughly a third of participants reported feeling dizzy (43.4%) or like they were floating/off-balance (31.5%).</w:t>
      </w:r>
      <w:r w:rsidR="00C81C06">
        <w:rPr>
          <w:bCs/>
          <w:sz w:val="24"/>
          <w:szCs w:val="24"/>
        </w:rPr>
        <w:t xml:space="preserve"> </w:t>
      </w:r>
      <w:r w:rsidRPr="00D516A8">
        <w:rPr>
          <w:bCs/>
          <w:sz w:val="24"/>
          <w:szCs w:val="24"/>
        </w:rPr>
        <w:t>A significant portion experienced nausea when moving their head (23.3%), while a smaller proportion reported repeated episodes of dizziness/vertigo (40.2%).</w:t>
      </w:r>
      <w:r w:rsidR="00C81C06">
        <w:rPr>
          <w:bCs/>
          <w:sz w:val="24"/>
          <w:szCs w:val="24"/>
        </w:rPr>
        <w:t xml:space="preserve"> </w:t>
      </w:r>
      <w:r w:rsidRPr="00D516A8">
        <w:rPr>
          <w:bCs/>
          <w:sz w:val="24"/>
          <w:szCs w:val="24"/>
        </w:rPr>
        <w:t>About half of the participants experienced dizziness when lying down or turning their head over on a bed (50.2%).</w:t>
      </w:r>
      <w:r w:rsidR="00431E26">
        <w:rPr>
          <w:bCs/>
          <w:sz w:val="24"/>
          <w:szCs w:val="24"/>
        </w:rPr>
        <w:t xml:space="preserve"> </w:t>
      </w:r>
      <w:r w:rsidRPr="00D516A8">
        <w:rPr>
          <w:sz w:val="24"/>
          <w:szCs w:val="24"/>
        </w:rPr>
        <w:t>The Dix-Hall pike maneuver and Spin Roll Test were performed to assess vertigo symptoms. A minority of participants had a positive result in these tests, indicating the presence of vertigo symptoms (Dix-Hall pike: 13.2%, Spin Roll Test: 11.9%)</w:t>
      </w:r>
      <w:r w:rsidR="00431E26">
        <w:rPr>
          <w:bCs/>
          <w:sz w:val="24"/>
          <w:szCs w:val="24"/>
        </w:rPr>
        <w:t xml:space="preserve">. </w:t>
      </w:r>
      <w:r w:rsidRPr="00D516A8">
        <w:rPr>
          <w:sz w:val="24"/>
          <w:szCs w:val="24"/>
        </w:rPr>
        <w:t>The Spin Roll Test results show that 11.9% of participants tested positive, indicating a presence of symptoms related to the test, while 88.1% tested negative.</w:t>
      </w:r>
    </w:p>
    <w:p w14:paraId="1C728D6A" w14:textId="77777777" w:rsidR="00DC102F" w:rsidRDefault="00DC102F" w:rsidP="00FB73BB">
      <w:pPr>
        <w:widowControl/>
        <w:autoSpaceDE/>
        <w:autoSpaceDN/>
        <w:jc w:val="both"/>
        <w:rPr>
          <w:sz w:val="24"/>
          <w:szCs w:val="24"/>
        </w:rPr>
        <w:sectPr w:rsidR="00DC102F" w:rsidSect="001C52C9">
          <w:type w:val="continuous"/>
          <w:pgSz w:w="11910" w:h="16840"/>
          <w:pgMar w:top="1440" w:right="1440" w:bottom="1440" w:left="1440" w:header="584" w:footer="450" w:gutter="0"/>
          <w:cols w:num="2" w:space="181"/>
          <w:docGrid w:linePitch="299"/>
        </w:sectPr>
      </w:pPr>
    </w:p>
    <w:p w14:paraId="162B9937" w14:textId="275260FB" w:rsidR="00153C11" w:rsidRPr="00B00E37" w:rsidRDefault="00153C11" w:rsidP="00153C11">
      <w:pPr>
        <w:widowControl/>
        <w:autoSpaceDE/>
        <w:autoSpaceDN/>
        <w:jc w:val="center"/>
        <w:rPr>
          <w:bCs/>
          <w:sz w:val="20"/>
          <w:szCs w:val="20"/>
        </w:rPr>
      </w:pPr>
      <w:r w:rsidRPr="00B00E37">
        <w:rPr>
          <w:bCs/>
          <w:sz w:val="20"/>
          <w:szCs w:val="20"/>
        </w:rPr>
        <w:lastRenderedPageBreak/>
        <w:t xml:space="preserve">Table </w:t>
      </w:r>
      <w:proofErr w:type="gramStart"/>
      <w:r w:rsidR="00FE4E31">
        <w:rPr>
          <w:bCs/>
          <w:sz w:val="20"/>
          <w:szCs w:val="20"/>
        </w:rPr>
        <w:t>1</w:t>
      </w:r>
      <w:r w:rsidRPr="00B00E37">
        <w:rPr>
          <w:bCs/>
          <w:sz w:val="20"/>
          <w:szCs w:val="20"/>
        </w:rPr>
        <w:t>.Association</w:t>
      </w:r>
      <w:proofErr w:type="gramEnd"/>
      <w:r w:rsidRPr="00B00E37">
        <w:rPr>
          <w:bCs/>
          <w:sz w:val="20"/>
          <w:szCs w:val="20"/>
        </w:rPr>
        <w:t xml:space="preserve"> of BPPV with QOL</w:t>
      </w:r>
    </w:p>
    <w:tbl>
      <w:tblPr>
        <w:tblW w:w="9157"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81"/>
        <w:gridCol w:w="992"/>
        <w:gridCol w:w="2870"/>
        <w:gridCol w:w="908"/>
        <w:gridCol w:w="1077"/>
        <w:gridCol w:w="912"/>
        <w:gridCol w:w="909"/>
        <w:gridCol w:w="908"/>
      </w:tblGrid>
      <w:tr w:rsidR="00153C11" w:rsidRPr="007D5B82" w14:paraId="05C76ECC" w14:textId="77777777" w:rsidTr="0045180A">
        <w:trPr>
          <w:cantSplit/>
          <w:trHeight w:val="237"/>
          <w:jc w:val="center"/>
        </w:trPr>
        <w:tc>
          <w:tcPr>
            <w:tcW w:w="4443" w:type="dxa"/>
            <w:gridSpan w:val="3"/>
            <w:vMerge w:val="restart"/>
            <w:shd w:val="clear" w:color="auto" w:fill="FFFFFF"/>
          </w:tcPr>
          <w:p w14:paraId="21A19FB6"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Spin Roll Test * Total Score QOL</w:t>
            </w:r>
          </w:p>
          <w:p w14:paraId="5078BC98" w14:textId="77777777" w:rsidR="00153C11" w:rsidRPr="007D5B82" w:rsidRDefault="00153C11" w:rsidP="0082460F">
            <w:pPr>
              <w:widowControl/>
              <w:autoSpaceDE/>
              <w:autoSpaceDN/>
              <w:jc w:val="both"/>
              <w:rPr>
                <w:rFonts w:eastAsiaTheme="minorHAnsi"/>
                <w:color w:val="000000" w:themeColor="text1"/>
                <w:sz w:val="20"/>
                <w:szCs w:val="20"/>
              </w:rPr>
            </w:pPr>
          </w:p>
        </w:tc>
        <w:tc>
          <w:tcPr>
            <w:tcW w:w="2897" w:type="dxa"/>
            <w:gridSpan w:val="3"/>
            <w:shd w:val="clear" w:color="auto" w:fill="FFFFFF"/>
            <w:hideMark/>
          </w:tcPr>
          <w:p w14:paraId="42E7E4E4"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Total Score QOL</w:t>
            </w:r>
          </w:p>
        </w:tc>
        <w:tc>
          <w:tcPr>
            <w:tcW w:w="909" w:type="dxa"/>
            <w:vMerge w:val="restart"/>
            <w:shd w:val="clear" w:color="auto" w:fill="FFFFFF"/>
            <w:hideMark/>
          </w:tcPr>
          <w:p w14:paraId="5544D837"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Total</w:t>
            </w:r>
          </w:p>
        </w:tc>
        <w:tc>
          <w:tcPr>
            <w:tcW w:w="908" w:type="dxa"/>
            <w:vMerge w:val="restart"/>
            <w:shd w:val="clear" w:color="auto" w:fill="FFFFFF"/>
          </w:tcPr>
          <w:p w14:paraId="4D27AA92" w14:textId="77777777" w:rsidR="00153C11" w:rsidRPr="007D5B82" w:rsidRDefault="00153C11" w:rsidP="0082460F">
            <w:pPr>
              <w:widowControl/>
              <w:autoSpaceDE/>
              <w:autoSpaceDN/>
              <w:jc w:val="center"/>
              <w:rPr>
                <w:rFonts w:eastAsiaTheme="minorHAnsi"/>
                <w:color w:val="000000" w:themeColor="text1"/>
                <w:sz w:val="20"/>
                <w:szCs w:val="20"/>
              </w:rPr>
            </w:pPr>
            <w:r w:rsidRPr="007D5B82">
              <w:rPr>
                <w:rFonts w:eastAsiaTheme="minorHAnsi"/>
                <w:color w:val="000000" w:themeColor="text1"/>
                <w:sz w:val="20"/>
                <w:szCs w:val="20"/>
              </w:rPr>
              <w:t>P Value</w:t>
            </w:r>
          </w:p>
        </w:tc>
      </w:tr>
      <w:tr w:rsidR="00153C11" w:rsidRPr="007D5B82" w14:paraId="3CD3DD52" w14:textId="77777777" w:rsidTr="0045180A">
        <w:trPr>
          <w:cantSplit/>
          <w:trHeight w:val="87"/>
          <w:jc w:val="center"/>
        </w:trPr>
        <w:tc>
          <w:tcPr>
            <w:tcW w:w="4443" w:type="dxa"/>
            <w:gridSpan w:val="3"/>
            <w:vMerge/>
            <w:vAlign w:val="center"/>
            <w:hideMark/>
          </w:tcPr>
          <w:p w14:paraId="4EF22DB9" w14:textId="77777777" w:rsidR="00153C11" w:rsidRPr="007D5B82" w:rsidRDefault="00153C11" w:rsidP="0082460F">
            <w:pPr>
              <w:widowControl/>
              <w:autoSpaceDE/>
              <w:autoSpaceDN/>
              <w:jc w:val="both"/>
              <w:rPr>
                <w:rFonts w:eastAsiaTheme="minorHAnsi"/>
                <w:color w:val="000000" w:themeColor="text1"/>
                <w:sz w:val="20"/>
                <w:szCs w:val="20"/>
              </w:rPr>
            </w:pPr>
          </w:p>
        </w:tc>
        <w:tc>
          <w:tcPr>
            <w:tcW w:w="908" w:type="dxa"/>
            <w:shd w:val="clear" w:color="auto" w:fill="FFFFFF"/>
            <w:hideMark/>
          </w:tcPr>
          <w:p w14:paraId="3BD0F317"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mild</w:t>
            </w:r>
          </w:p>
        </w:tc>
        <w:tc>
          <w:tcPr>
            <w:tcW w:w="1077" w:type="dxa"/>
            <w:shd w:val="clear" w:color="auto" w:fill="FFFFFF"/>
            <w:hideMark/>
          </w:tcPr>
          <w:p w14:paraId="5A0A8DE0"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moderate</w:t>
            </w:r>
          </w:p>
        </w:tc>
        <w:tc>
          <w:tcPr>
            <w:tcW w:w="912" w:type="dxa"/>
            <w:shd w:val="clear" w:color="auto" w:fill="FFFFFF"/>
            <w:hideMark/>
          </w:tcPr>
          <w:p w14:paraId="61F1A004"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severe</w:t>
            </w:r>
          </w:p>
        </w:tc>
        <w:tc>
          <w:tcPr>
            <w:tcW w:w="909" w:type="dxa"/>
            <w:vMerge/>
            <w:vAlign w:val="center"/>
            <w:hideMark/>
          </w:tcPr>
          <w:p w14:paraId="0D94AAE6" w14:textId="77777777" w:rsidR="00153C11" w:rsidRPr="007D5B82" w:rsidRDefault="00153C11" w:rsidP="0082460F">
            <w:pPr>
              <w:widowControl/>
              <w:autoSpaceDE/>
              <w:autoSpaceDN/>
              <w:jc w:val="both"/>
              <w:rPr>
                <w:rFonts w:eastAsiaTheme="minorHAnsi"/>
                <w:color w:val="000000" w:themeColor="text1"/>
                <w:sz w:val="20"/>
                <w:szCs w:val="20"/>
              </w:rPr>
            </w:pPr>
          </w:p>
        </w:tc>
        <w:tc>
          <w:tcPr>
            <w:tcW w:w="908" w:type="dxa"/>
            <w:vMerge/>
          </w:tcPr>
          <w:p w14:paraId="1B6CED2F" w14:textId="77777777" w:rsidR="00153C11" w:rsidRPr="007D5B82" w:rsidRDefault="00153C11" w:rsidP="0082460F">
            <w:pPr>
              <w:widowControl/>
              <w:autoSpaceDE/>
              <w:autoSpaceDN/>
              <w:jc w:val="both"/>
              <w:rPr>
                <w:rFonts w:eastAsiaTheme="minorHAnsi"/>
                <w:color w:val="000000" w:themeColor="text1"/>
                <w:sz w:val="20"/>
                <w:szCs w:val="20"/>
              </w:rPr>
            </w:pPr>
          </w:p>
        </w:tc>
      </w:tr>
      <w:tr w:rsidR="00153C11" w:rsidRPr="007D5B82" w14:paraId="47C21D55" w14:textId="77777777" w:rsidTr="0045180A">
        <w:trPr>
          <w:cantSplit/>
          <w:trHeight w:val="237"/>
          <w:jc w:val="center"/>
        </w:trPr>
        <w:tc>
          <w:tcPr>
            <w:tcW w:w="581" w:type="dxa"/>
            <w:vMerge w:val="restart"/>
            <w:shd w:val="clear" w:color="auto" w:fill="FFFFFF"/>
            <w:textDirection w:val="btLr"/>
            <w:vAlign w:val="center"/>
            <w:hideMark/>
          </w:tcPr>
          <w:p w14:paraId="26DE63F0" w14:textId="77777777" w:rsidR="00153C11" w:rsidRPr="007D5B82" w:rsidRDefault="00153C11" w:rsidP="0082460F">
            <w:pPr>
              <w:widowControl/>
              <w:autoSpaceDE/>
              <w:autoSpaceDN/>
              <w:ind w:left="113" w:right="113"/>
              <w:jc w:val="center"/>
              <w:rPr>
                <w:rFonts w:eastAsiaTheme="minorHAnsi"/>
                <w:color w:val="000000" w:themeColor="text1"/>
                <w:sz w:val="20"/>
                <w:szCs w:val="20"/>
              </w:rPr>
            </w:pPr>
            <w:r w:rsidRPr="007D5B82">
              <w:rPr>
                <w:rFonts w:eastAsiaTheme="minorHAnsi"/>
                <w:color w:val="000000" w:themeColor="text1"/>
                <w:sz w:val="20"/>
                <w:szCs w:val="20"/>
              </w:rPr>
              <w:t>Spin Roll Test</w:t>
            </w:r>
          </w:p>
        </w:tc>
        <w:tc>
          <w:tcPr>
            <w:tcW w:w="992" w:type="dxa"/>
            <w:vMerge w:val="restart"/>
            <w:shd w:val="clear" w:color="auto" w:fill="FFFFFF"/>
            <w:vAlign w:val="center"/>
            <w:hideMark/>
          </w:tcPr>
          <w:p w14:paraId="3CACBD2A"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Positive</w:t>
            </w:r>
          </w:p>
        </w:tc>
        <w:tc>
          <w:tcPr>
            <w:tcW w:w="2870" w:type="dxa"/>
            <w:shd w:val="clear" w:color="auto" w:fill="FFFFFF"/>
            <w:vAlign w:val="center"/>
            <w:hideMark/>
          </w:tcPr>
          <w:p w14:paraId="49E1B8F7"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Count</w:t>
            </w:r>
          </w:p>
        </w:tc>
        <w:tc>
          <w:tcPr>
            <w:tcW w:w="908" w:type="dxa"/>
            <w:shd w:val="clear" w:color="auto" w:fill="FFFFFF"/>
            <w:hideMark/>
          </w:tcPr>
          <w:p w14:paraId="7381CB39"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15</w:t>
            </w:r>
          </w:p>
        </w:tc>
        <w:tc>
          <w:tcPr>
            <w:tcW w:w="1077" w:type="dxa"/>
            <w:shd w:val="clear" w:color="auto" w:fill="FFFFFF"/>
            <w:hideMark/>
          </w:tcPr>
          <w:p w14:paraId="555E2E56"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9</w:t>
            </w:r>
          </w:p>
        </w:tc>
        <w:tc>
          <w:tcPr>
            <w:tcW w:w="912" w:type="dxa"/>
            <w:shd w:val="clear" w:color="auto" w:fill="FFFFFF"/>
            <w:hideMark/>
          </w:tcPr>
          <w:p w14:paraId="192470FC"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2</w:t>
            </w:r>
          </w:p>
        </w:tc>
        <w:tc>
          <w:tcPr>
            <w:tcW w:w="909" w:type="dxa"/>
            <w:shd w:val="clear" w:color="auto" w:fill="FFFFFF"/>
            <w:hideMark/>
          </w:tcPr>
          <w:p w14:paraId="260F41EC"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26</w:t>
            </w:r>
          </w:p>
        </w:tc>
        <w:tc>
          <w:tcPr>
            <w:tcW w:w="908" w:type="dxa"/>
            <w:vMerge w:val="restart"/>
            <w:shd w:val="clear" w:color="auto" w:fill="FFFFFF"/>
            <w:vAlign w:val="center"/>
          </w:tcPr>
          <w:p w14:paraId="3260D46D" w14:textId="3D553915" w:rsidR="00153C11" w:rsidRPr="007D5B82" w:rsidRDefault="00745C02" w:rsidP="0082460F">
            <w:pPr>
              <w:widowControl/>
              <w:autoSpaceDE/>
              <w:autoSpaceDN/>
              <w:jc w:val="center"/>
              <w:rPr>
                <w:rFonts w:eastAsiaTheme="minorHAnsi"/>
                <w:color w:val="000000" w:themeColor="text1"/>
                <w:sz w:val="20"/>
                <w:szCs w:val="20"/>
              </w:rPr>
            </w:pPr>
            <w:r w:rsidRPr="007D5B82">
              <w:rPr>
                <w:rFonts w:eastAsiaTheme="minorHAnsi"/>
                <w:color w:val="000000" w:themeColor="text1"/>
                <w:sz w:val="20"/>
                <w:szCs w:val="20"/>
              </w:rPr>
              <w:t>0</w:t>
            </w:r>
            <w:r w:rsidR="00153C11" w:rsidRPr="007D5B82">
              <w:rPr>
                <w:rFonts w:eastAsiaTheme="minorHAnsi"/>
                <w:color w:val="000000" w:themeColor="text1"/>
                <w:sz w:val="20"/>
                <w:szCs w:val="20"/>
              </w:rPr>
              <w:t>.414</w:t>
            </w:r>
          </w:p>
        </w:tc>
      </w:tr>
      <w:tr w:rsidR="00153C11" w:rsidRPr="007D5B82" w14:paraId="642CD26D" w14:textId="77777777" w:rsidTr="0045180A">
        <w:trPr>
          <w:cantSplit/>
          <w:trHeight w:val="87"/>
          <w:jc w:val="center"/>
        </w:trPr>
        <w:tc>
          <w:tcPr>
            <w:tcW w:w="581" w:type="dxa"/>
            <w:vMerge/>
            <w:vAlign w:val="center"/>
            <w:hideMark/>
          </w:tcPr>
          <w:p w14:paraId="7CEC2782" w14:textId="77777777" w:rsidR="00153C11" w:rsidRPr="007D5B82" w:rsidRDefault="00153C11" w:rsidP="0082460F">
            <w:pPr>
              <w:widowControl/>
              <w:autoSpaceDE/>
              <w:autoSpaceDN/>
              <w:jc w:val="both"/>
              <w:rPr>
                <w:rFonts w:eastAsiaTheme="minorHAnsi"/>
                <w:color w:val="000000" w:themeColor="text1"/>
                <w:sz w:val="20"/>
                <w:szCs w:val="20"/>
              </w:rPr>
            </w:pPr>
          </w:p>
        </w:tc>
        <w:tc>
          <w:tcPr>
            <w:tcW w:w="992" w:type="dxa"/>
            <w:vMerge/>
            <w:vAlign w:val="center"/>
            <w:hideMark/>
          </w:tcPr>
          <w:p w14:paraId="0AB49A12" w14:textId="77777777" w:rsidR="00153C11" w:rsidRPr="007D5B82" w:rsidRDefault="00153C11" w:rsidP="0082460F">
            <w:pPr>
              <w:widowControl/>
              <w:autoSpaceDE/>
              <w:autoSpaceDN/>
              <w:jc w:val="both"/>
              <w:rPr>
                <w:rFonts w:eastAsiaTheme="minorHAnsi"/>
                <w:color w:val="000000" w:themeColor="text1"/>
                <w:sz w:val="20"/>
                <w:szCs w:val="20"/>
              </w:rPr>
            </w:pPr>
          </w:p>
        </w:tc>
        <w:tc>
          <w:tcPr>
            <w:tcW w:w="2870" w:type="dxa"/>
            <w:shd w:val="clear" w:color="auto" w:fill="FFFFFF"/>
            <w:vAlign w:val="center"/>
            <w:hideMark/>
          </w:tcPr>
          <w:p w14:paraId="4D87511F"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 within Spin Roll Test</w:t>
            </w:r>
          </w:p>
        </w:tc>
        <w:tc>
          <w:tcPr>
            <w:tcW w:w="908" w:type="dxa"/>
            <w:shd w:val="clear" w:color="auto" w:fill="FFFFFF"/>
            <w:hideMark/>
          </w:tcPr>
          <w:p w14:paraId="5B3FEF06"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57.7%</w:t>
            </w:r>
          </w:p>
        </w:tc>
        <w:tc>
          <w:tcPr>
            <w:tcW w:w="1077" w:type="dxa"/>
            <w:shd w:val="clear" w:color="auto" w:fill="FFFFFF"/>
            <w:hideMark/>
          </w:tcPr>
          <w:p w14:paraId="3EC18E13"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34.6%</w:t>
            </w:r>
          </w:p>
        </w:tc>
        <w:tc>
          <w:tcPr>
            <w:tcW w:w="912" w:type="dxa"/>
            <w:shd w:val="clear" w:color="auto" w:fill="FFFFFF"/>
            <w:hideMark/>
          </w:tcPr>
          <w:p w14:paraId="22744107"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7.7%</w:t>
            </w:r>
          </w:p>
        </w:tc>
        <w:tc>
          <w:tcPr>
            <w:tcW w:w="909" w:type="dxa"/>
            <w:shd w:val="clear" w:color="auto" w:fill="FFFFFF"/>
            <w:hideMark/>
          </w:tcPr>
          <w:p w14:paraId="60EF6004"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100.0%</w:t>
            </w:r>
          </w:p>
        </w:tc>
        <w:tc>
          <w:tcPr>
            <w:tcW w:w="908" w:type="dxa"/>
            <w:vMerge/>
            <w:shd w:val="clear" w:color="auto" w:fill="FFFFFF"/>
          </w:tcPr>
          <w:p w14:paraId="5A435550" w14:textId="77777777" w:rsidR="00153C11" w:rsidRPr="007D5B82" w:rsidRDefault="00153C11" w:rsidP="0082460F">
            <w:pPr>
              <w:widowControl/>
              <w:autoSpaceDE/>
              <w:autoSpaceDN/>
              <w:jc w:val="center"/>
              <w:rPr>
                <w:rFonts w:eastAsiaTheme="minorHAnsi"/>
                <w:color w:val="000000" w:themeColor="text1"/>
                <w:sz w:val="20"/>
                <w:szCs w:val="20"/>
              </w:rPr>
            </w:pPr>
          </w:p>
        </w:tc>
      </w:tr>
      <w:tr w:rsidR="00153C11" w:rsidRPr="007D5B82" w14:paraId="7E4308C3" w14:textId="77777777" w:rsidTr="0045180A">
        <w:trPr>
          <w:cantSplit/>
          <w:trHeight w:val="87"/>
          <w:jc w:val="center"/>
        </w:trPr>
        <w:tc>
          <w:tcPr>
            <w:tcW w:w="581" w:type="dxa"/>
            <w:vMerge/>
            <w:vAlign w:val="center"/>
            <w:hideMark/>
          </w:tcPr>
          <w:p w14:paraId="26917CCF" w14:textId="77777777" w:rsidR="00153C11" w:rsidRPr="007D5B82" w:rsidRDefault="00153C11" w:rsidP="0082460F">
            <w:pPr>
              <w:widowControl/>
              <w:autoSpaceDE/>
              <w:autoSpaceDN/>
              <w:jc w:val="both"/>
              <w:rPr>
                <w:rFonts w:eastAsiaTheme="minorHAnsi"/>
                <w:color w:val="000000" w:themeColor="text1"/>
                <w:sz w:val="20"/>
                <w:szCs w:val="20"/>
              </w:rPr>
            </w:pPr>
          </w:p>
        </w:tc>
        <w:tc>
          <w:tcPr>
            <w:tcW w:w="992" w:type="dxa"/>
            <w:vMerge/>
            <w:vAlign w:val="center"/>
            <w:hideMark/>
          </w:tcPr>
          <w:p w14:paraId="366DE98A" w14:textId="77777777" w:rsidR="00153C11" w:rsidRPr="007D5B82" w:rsidRDefault="00153C11" w:rsidP="0082460F">
            <w:pPr>
              <w:widowControl/>
              <w:autoSpaceDE/>
              <w:autoSpaceDN/>
              <w:jc w:val="both"/>
              <w:rPr>
                <w:rFonts w:eastAsiaTheme="minorHAnsi"/>
                <w:color w:val="000000" w:themeColor="text1"/>
                <w:sz w:val="20"/>
                <w:szCs w:val="20"/>
              </w:rPr>
            </w:pPr>
          </w:p>
        </w:tc>
        <w:tc>
          <w:tcPr>
            <w:tcW w:w="2870" w:type="dxa"/>
            <w:shd w:val="clear" w:color="auto" w:fill="FFFFFF"/>
            <w:vAlign w:val="center"/>
            <w:hideMark/>
          </w:tcPr>
          <w:p w14:paraId="31A532E4"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 within Total Score QOL</w:t>
            </w:r>
          </w:p>
        </w:tc>
        <w:tc>
          <w:tcPr>
            <w:tcW w:w="908" w:type="dxa"/>
            <w:shd w:val="clear" w:color="auto" w:fill="FFFFFF"/>
            <w:hideMark/>
          </w:tcPr>
          <w:p w14:paraId="299E33EA"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100.0%</w:t>
            </w:r>
          </w:p>
        </w:tc>
        <w:tc>
          <w:tcPr>
            <w:tcW w:w="1077" w:type="dxa"/>
            <w:shd w:val="clear" w:color="auto" w:fill="FFFFFF"/>
            <w:hideMark/>
          </w:tcPr>
          <w:p w14:paraId="353A5EBE"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90.0%</w:t>
            </w:r>
          </w:p>
        </w:tc>
        <w:tc>
          <w:tcPr>
            <w:tcW w:w="912" w:type="dxa"/>
            <w:shd w:val="clear" w:color="auto" w:fill="FFFFFF"/>
            <w:hideMark/>
          </w:tcPr>
          <w:p w14:paraId="1B51647C"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100.0%</w:t>
            </w:r>
          </w:p>
        </w:tc>
        <w:tc>
          <w:tcPr>
            <w:tcW w:w="909" w:type="dxa"/>
            <w:shd w:val="clear" w:color="auto" w:fill="FFFFFF"/>
            <w:hideMark/>
          </w:tcPr>
          <w:p w14:paraId="1C88AB23"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96.3%</w:t>
            </w:r>
          </w:p>
        </w:tc>
        <w:tc>
          <w:tcPr>
            <w:tcW w:w="908" w:type="dxa"/>
            <w:vMerge/>
            <w:shd w:val="clear" w:color="auto" w:fill="FFFFFF"/>
          </w:tcPr>
          <w:p w14:paraId="421A1922" w14:textId="77777777" w:rsidR="00153C11" w:rsidRPr="007D5B82" w:rsidRDefault="00153C11" w:rsidP="0082460F">
            <w:pPr>
              <w:widowControl/>
              <w:autoSpaceDE/>
              <w:autoSpaceDN/>
              <w:jc w:val="center"/>
              <w:rPr>
                <w:rFonts w:eastAsiaTheme="minorHAnsi"/>
                <w:color w:val="000000" w:themeColor="text1"/>
                <w:sz w:val="20"/>
                <w:szCs w:val="20"/>
              </w:rPr>
            </w:pPr>
          </w:p>
        </w:tc>
      </w:tr>
      <w:tr w:rsidR="00153C11" w:rsidRPr="007D5B82" w14:paraId="23355E06" w14:textId="77777777" w:rsidTr="0045180A">
        <w:trPr>
          <w:cantSplit/>
          <w:trHeight w:val="87"/>
          <w:jc w:val="center"/>
        </w:trPr>
        <w:tc>
          <w:tcPr>
            <w:tcW w:w="581" w:type="dxa"/>
            <w:vMerge/>
            <w:vAlign w:val="center"/>
            <w:hideMark/>
          </w:tcPr>
          <w:p w14:paraId="2CAFA0C9" w14:textId="77777777" w:rsidR="00153C11" w:rsidRPr="007D5B82" w:rsidRDefault="00153C11" w:rsidP="0082460F">
            <w:pPr>
              <w:widowControl/>
              <w:autoSpaceDE/>
              <w:autoSpaceDN/>
              <w:jc w:val="both"/>
              <w:rPr>
                <w:rFonts w:eastAsiaTheme="minorHAnsi"/>
                <w:color w:val="000000" w:themeColor="text1"/>
                <w:sz w:val="20"/>
                <w:szCs w:val="20"/>
              </w:rPr>
            </w:pPr>
          </w:p>
        </w:tc>
        <w:tc>
          <w:tcPr>
            <w:tcW w:w="992" w:type="dxa"/>
            <w:vMerge w:val="restart"/>
            <w:shd w:val="clear" w:color="auto" w:fill="FFFFFF"/>
            <w:vAlign w:val="center"/>
            <w:hideMark/>
          </w:tcPr>
          <w:p w14:paraId="68B80E5E"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Negative</w:t>
            </w:r>
          </w:p>
        </w:tc>
        <w:tc>
          <w:tcPr>
            <w:tcW w:w="2870" w:type="dxa"/>
            <w:shd w:val="clear" w:color="auto" w:fill="FFFFFF"/>
            <w:vAlign w:val="center"/>
            <w:hideMark/>
          </w:tcPr>
          <w:p w14:paraId="780C13B2"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Count</w:t>
            </w:r>
          </w:p>
        </w:tc>
        <w:tc>
          <w:tcPr>
            <w:tcW w:w="908" w:type="dxa"/>
            <w:shd w:val="clear" w:color="auto" w:fill="FFFFFF"/>
            <w:hideMark/>
          </w:tcPr>
          <w:p w14:paraId="025C94EB"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0</w:t>
            </w:r>
          </w:p>
        </w:tc>
        <w:tc>
          <w:tcPr>
            <w:tcW w:w="1077" w:type="dxa"/>
            <w:shd w:val="clear" w:color="auto" w:fill="FFFFFF"/>
            <w:hideMark/>
          </w:tcPr>
          <w:p w14:paraId="34C9BB96"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1</w:t>
            </w:r>
          </w:p>
        </w:tc>
        <w:tc>
          <w:tcPr>
            <w:tcW w:w="912" w:type="dxa"/>
            <w:shd w:val="clear" w:color="auto" w:fill="FFFFFF"/>
            <w:hideMark/>
          </w:tcPr>
          <w:p w14:paraId="3A2E3686"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0</w:t>
            </w:r>
          </w:p>
        </w:tc>
        <w:tc>
          <w:tcPr>
            <w:tcW w:w="909" w:type="dxa"/>
            <w:shd w:val="clear" w:color="auto" w:fill="FFFFFF"/>
            <w:hideMark/>
          </w:tcPr>
          <w:p w14:paraId="19EE72AC"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1</w:t>
            </w:r>
          </w:p>
        </w:tc>
        <w:tc>
          <w:tcPr>
            <w:tcW w:w="908" w:type="dxa"/>
            <w:vMerge/>
            <w:shd w:val="clear" w:color="auto" w:fill="FFFFFF"/>
          </w:tcPr>
          <w:p w14:paraId="6BB1E89A" w14:textId="77777777" w:rsidR="00153C11" w:rsidRPr="007D5B82" w:rsidRDefault="00153C11" w:rsidP="0082460F">
            <w:pPr>
              <w:widowControl/>
              <w:autoSpaceDE/>
              <w:autoSpaceDN/>
              <w:jc w:val="center"/>
              <w:rPr>
                <w:rFonts w:eastAsiaTheme="minorHAnsi"/>
                <w:color w:val="000000" w:themeColor="text1"/>
                <w:sz w:val="20"/>
                <w:szCs w:val="20"/>
              </w:rPr>
            </w:pPr>
          </w:p>
        </w:tc>
      </w:tr>
      <w:tr w:rsidR="00153C11" w:rsidRPr="007D5B82" w14:paraId="7308AEE5" w14:textId="77777777" w:rsidTr="0045180A">
        <w:trPr>
          <w:cantSplit/>
          <w:trHeight w:val="87"/>
          <w:jc w:val="center"/>
        </w:trPr>
        <w:tc>
          <w:tcPr>
            <w:tcW w:w="581" w:type="dxa"/>
            <w:vMerge/>
            <w:vAlign w:val="center"/>
            <w:hideMark/>
          </w:tcPr>
          <w:p w14:paraId="5164CC3E" w14:textId="77777777" w:rsidR="00153C11" w:rsidRPr="007D5B82" w:rsidRDefault="00153C11" w:rsidP="0082460F">
            <w:pPr>
              <w:widowControl/>
              <w:autoSpaceDE/>
              <w:autoSpaceDN/>
              <w:jc w:val="both"/>
              <w:rPr>
                <w:rFonts w:eastAsiaTheme="minorHAnsi"/>
                <w:color w:val="000000" w:themeColor="text1"/>
                <w:sz w:val="20"/>
                <w:szCs w:val="20"/>
              </w:rPr>
            </w:pPr>
          </w:p>
        </w:tc>
        <w:tc>
          <w:tcPr>
            <w:tcW w:w="992" w:type="dxa"/>
            <w:vMerge/>
            <w:vAlign w:val="center"/>
            <w:hideMark/>
          </w:tcPr>
          <w:p w14:paraId="22FC4BFA" w14:textId="77777777" w:rsidR="00153C11" w:rsidRPr="007D5B82" w:rsidRDefault="00153C11" w:rsidP="0082460F">
            <w:pPr>
              <w:widowControl/>
              <w:autoSpaceDE/>
              <w:autoSpaceDN/>
              <w:jc w:val="both"/>
              <w:rPr>
                <w:rFonts w:eastAsiaTheme="minorHAnsi"/>
                <w:color w:val="000000" w:themeColor="text1"/>
                <w:sz w:val="20"/>
                <w:szCs w:val="20"/>
              </w:rPr>
            </w:pPr>
          </w:p>
        </w:tc>
        <w:tc>
          <w:tcPr>
            <w:tcW w:w="2870" w:type="dxa"/>
            <w:shd w:val="clear" w:color="auto" w:fill="FFFFFF"/>
            <w:vAlign w:val="center"/>
            <w:hideMark/>
          </w:tcPr>
          <w:p w14:paraId="43FB8D69"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 within Spin Roll Test</w:t>
            </w:r>
          </w:p>
        </w:tc>
        <w:tc>
          <w:tcPr>
            <w:tcW w:w="908" w:type="dxa"/>
            <w:shd w:val="clear" w:color="auto" w:fill="FFFFFF"/>
            <w:hideMark/>
          </w:tcPr>
          <w:p w14:paraId="246CDBF3"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0.0%</w:t>
            </w:r>
          </w:p>
        </w:tc>
        <w:tc>
          <w:tcPr>
            <w:tcW w:w="1077" w:type="dxa"/>
            <w:shd w:val="clear" w:color="auto" w:fill="FFFFFF"/>
            <w:hideMark/>
          </w:tcPr>
          <w:p w14:paraId="7F3EB4D8"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100.0%</w:t>
            </w:r>
          </w:p>
        </w:tc>
        <w:tc>
          <w:tcPr>
            <w:tcW w:w="912" w:type="dxa"/>
            <w:shd w:val="clear" w:color="auto" w:fill="FFFFFF"/>
            <w:hideMark/>
          </w:tcPr>
          <w:p w14:paraId="23ACABD2"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0.0%</w:t>
            </w:r>
          </w:p>
        </w:tc>
        <w:tc>
          <w:tcPr>
            <w:tcW w:w="909" w:type="dxa"/>
            <w:shd w:val="clear" w:color="auto" w:fill="FFFFFF"/>
            <w:hideMark/>
          </w:tcPr>
          <w:p w14:paraId="324859C0"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100.0%</w:t>
            </w:r>
          </w:p>
        </w:tc>
        <w:tc>
          <w:tcPr>
            <w:tcW w:w="908" w:type="dxa"/>
            <w:vMerge/>
            <w:shd w:val="clear" w:color="auto" w:fill="FFFFFF"/>
          </w:tcPr>
          <w:p w14:paraId="1CA7F903" w14:textId="77777777" w:rsidR="00153C11" w:rsidRPr="007D5B82" w:rsidRDefault="00153C11" w:rsidP="0082460F">
            <w:pPr>
              <w:widowControl/>
              <w:autoSpaceDE/>
              <w:autoSpaceDN/>
              <w:jc w:val="center"/>
              <w:rPr>
                <w:rFonts w:eastAsiaTheme="minorHAnsi"/>
                <w:color w:val="000000" w:themeColor="text1"/>
                <w:sz w:val="20"/>
                <w:szCs w:val="20"/>
              </w:rPr>
            </w:pPr>
          </w:p>
        </w:tc>
      </w:tr>
      <w:tr w:rsidR="00153C11" w:rsidRPr="007D5B82" w14:paraId="7CA07190" w14:textId="77777777" w:rsidTr="0045180A">
        <w:trPr>
          <w:cantSplit/>
          <w:trHeight w:val="87"/>
          <w:jc w:val="center"/>
        </w:trPr>
        <w:tc>
          <w:tcPr>
            <w:tcW w:w="581" w:type="dxa"/>
            <w:vMerge/>
            <w:vAlign w:val="center"/>
            <w:hideMark/>
          </w:tcPr>
          <w:p w14:paraId="2F2A79FC" w14:textId="77777777" w:rsidR="00153C11" w:rsidRPr="007D5B82" w:rsidRDefault="00153C11" w:rsidP="0082460F">
            <w:pPr>
              <w:widowControl/>
              <w:autoSpaceDE/>
              <w:autoSpaceDN/>
              <w:jc w:val="both"/>
              <w:rPr>
                <w:rFonts w:eastAsiaTheme="minorHAnsi"/>
                <w:color w:val="000000" w:themeColor="text1"/>
                <w:sz w:val="20"/>
                <w:szCs w:val="20"/>
              </w:rPr>
            </w:pPr>
          </w:p>
        </w:tc>
        <w:tc>
          <w:tcPr>
            <w:tcW w:w="992" w:type="dxa"/>
            <w:vMerge/>
            <w:vAlign w:val="center"/>
            <w:hideMark/>
          </w:tcPr>
          <w:p w14:paraId="0B967684" w14:textId="77777777" w:rsidR="00153C11" w:rsidRPr="007D5B82" w:rsidRDefault="00153C11" w:rsidP="0082460F">
            <w:pPr>
              <w:widowControl/>
              <w:autoSpaceDE/>
              <w:autoSpaceDN/>
              <w:jc w:val="both"/>
              <w:rPr>
                <w:rFonts w:eastAsiaTheme="minorHAnsi"/>
                <w:color w:val="000000" w:themeColor="text1"/>
                <w:sz w:val="20"/>
                <w:szCs w:val="20"/>
              </w:rPr>
            </w:pPr>
          </w:p>
        </w:tc>
        <w:tc>
          <w:tcPr>
            <w:tcW w:w="2870" w:type="dxa"/>
            <w:shd w:val="clear" w:color="auto" w:fill="FFFFFF"/>
            <w:vAlign w:val="center"/>
            <w:hideMark/>
          </w:tcPr>
          <w:p w14:paraId="264D61BF"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 within Total Score QOL</w:t>
            </w:r>
          </w:p>
        </w:tc>
        <w:tc>
          <w:tcPr>
            <w:tcW w:w="908" w:type="dxa"/>
            <w:shd w:val="clear" w:color="auto" w:fill="FFFFFF"/>
            <w:hideMark/>
          </w:tcPr>
          <w:p w14:paraId="01ABB448"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0.0%</w:t>
            </w:r>
          </w:p>
        </w:tc>
        <w:tc>
          <w:tcPr>
            <w:tcW w:w="1077" w:type="dxa"/>
            <w:shd w:val="clear" w:color="auto" w:fill="FFFFFF"/>
            <w:hideMark/>
          </w:tcPr>
          <w:p w14:paraId="332FE41B"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10.0%</w:t>
            </w:r>
          </w:p>
        </w:tc>
        <w:tc>
          <w:tcPr>
            <w:tcW w:w="912" w:type="dxa"/>
            <w:shd w:val="clear" w:color="auto" w:fill="FFFFFF"/>
            <w:hideMark/>
          </w:tcPr>
          <w:p w14:paraId="4F4EB142"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0.0%</w:t>
            </w:r>
          </w:p>
        </w:tc>
        <w:tc>
          <w:tcPr>
            <w:tcW w:w="909" w:type="dxa"/>
            <w:shd w:val="clear" w:color="auto" w:fill="FFFFFF"/>
            <w:hideMark/>
          </w:tcPr>
          <w:p w14:paraId="18F30C77" w14:textId="77777777" w:rsidR="00153C11" w:rsidRPr="007D5B82" w:rsidRDefault="00153C11" w:rsidP="0082460F">
            <w:pPr>
              <w:widowControl/>
              <w:autoSpaceDE/>
              <w:autoSpaceDN/>
              <w:jc w:val="both"/>
              <w:rPr>
                <w:rFonts w:eastAsiaTheme="minorHAnsi"/>
                <w:color w:val="000000" w:themeColor="text1"/>
                <w:sz w:val="20"/>
                <w:szCs w:val="20"/>
              </w:rPr>
            </w:pPr>
            <w:r w:rsidRPr="007D5B82">
              <w:rPr>
                <w:rFonts w:eastAsiaTheme="minorHAnsi"/>
                <w:color w:val="000000" w:themeColor="text1"/>
                <w:sz w:val="20"/>
                <w:szCs w:val="20"/>
              </w:rPr>
              <w:t>3.7%</w:t>
            </w:r>
          </w:p>
        </w:tc>
        <w:tc>
          <w:tcPr>
            <w:tcW w:w="908" w:type="dxa"/>
            <w:vMerge/>
            <w:shd w:val="clear" w:color="auto" w:fill="FFFFFF"/>
          </w:tcPr>
          <w:p w14:paraId="3F3202C1" w14:textId="77777777" w:rsidR="00153C11" w:rsidRPr="007D5B82" w:rsidRDefault="00153C11" w:rsidP="0082460F">
            <w:pPr>
              <w:widowControl/>
              <w:autoSpaceDE/>
              <w:autoSpaceDN/>
              <w:jc w:val="both"/>
              <w:rPr>
                <w:rFonts w:eastAsiaTheme="minorHAnsi"/>
                <w:color w:val="000000" w:themeColor="text1"/>
                <w:sz w:val="20"/>
                <w:szCs w:val="20"/>
              </w:rPr>
            </w:pPr>
          </w:p>
        </w:tc>
      </w:tr>
    </w:tbl>
    <w:p w14:paraId="04E12AD3" w14:textId="77777777" w:rsidR="005E7F28" w:rsidRDefault="005E7F28" w:rsidP="00FB73BB">
      <w:pPr>
        <w:widowControl/>
        <w:autoSpaceDE/>
        <w:autoSpaceDN/>
        <w:jc w:val="both"/>
        <w:rPr>
          <w:sz w:val="24"/>
          <w:szCs w:val="24"/>
        </w:rPr>
        <w:sectPr w:rsidR="005E7F28" w:rsidSect="001F1F79">
          <w:type w:val="continuous"/>
          <w:pgSz w:w="11910" w:h="16840"/>
          <w:pgMar w:top="1440" w:right="1440" w:bottom="1440" w:left="1440" w:header="584" w:footer="450" w:gutter="0"/>
          <w:cols w:space="262"/>
          <w:docGrid w:linePitch="299"/>
        </w:sectPr>
      </w:pPr>
    </w:p>
    <w:p w14:paraId="4D349A6C" w14:textId="77777777" w:rsidR="005E7F28" w:rsidRDefault="005E7F28" w:rsidP="00FB73BB">
      <w:pPr>
        <w:widowControl/>
        <w:autoSpaceDE/>
        <w:autoSpaceDN/>
        <w:jc w:val="both"/>
        <w:rPr>
          <w:sz w:val="24"/>
          <w:szCs w:val="24"/>
        </w:rPr>
        <w:sectPr w:rsidR="005E7F28" w:rsidSect="001F1F79">
          <w:type w:val="continuous"/>
          <w:pgSz w:w="11910" w:h="16840"/>
          <w:pgMar w:top="1440" w:right="1440" w:bottom="1440" w:left="1440" w:header="584" w:footer="450" w:gutter="0"/>
          <w:cols w:space="262"/>
          <w:docGrid w:linePitch="299"/>
        </w:sectPr>
      </w:pPr>
    </w:p>
    <w:p w14:paraId="7614FCCB" w14:textId="77777777" w:rsidR="005E7F28" w:rsidRDefault="00D516A8" w:rsidP="00FB73BB">
      <w:pPr>
        <w:widowControl/>
        <w:autoSpaceDE/>
        <w:autoSpaceDN/>
        <w:jc w:val="both"/>
        <w:rPr>
          <w:sz w:val="24"/>
          <w:szCs w:val="24"/>
        </w:rPr>
        <w:sectPr w:rsidR="005E7F28" w:rsidSect="001C52C9">
          <w:type w:val="continuous"/>
          <w:pgSz w:w="11910" w:h="16840"/>
          <w:pgMar w:top="1440" w:right="1440" w:bottom="1440" w:left="1440" w:header="584" w:footer="450" w:gutter="0"/>
          <w:cols w:num="2" w:space="181"/>
          <w:docGrid w:linePitch="299"/>
        </w:sectPr>
      </w:pPr>
      <w:r w:rsidRPr="00D516A8">
        <w:rPr>
          <w:sz w:val="24"/>
          <w:szCs w:val="24"/>
        </w:rPr>
        <w:t xml:space="preserve">For the </w:t>
      </w:r>
      <w:r w:rsidRPr="00D516A8">
        <w:rPr>
          <w:bCs/>
          <w:sz w:val="24"/>
          <w:szCs w:val="24"/>
        </w:rPr>
        <w:t>Spin Roll Test</w:t>
      </w:r>
      <w:r w:rsidRPr="00D516A8">
        <w:rPr>
          <w:sz w:val="24"/>
          <w:szCs w:val="24"/>
        </w:rPr>
        <w:t xml:space="preserve">, </w:t>
      </w:r>
      <w:proofErr w:type="gramStart"/>
      <w:r w:rsidRPr="00D516A8">
        <w:rPr>
          <w:sz w:val="24"/>
          <w:szCs w:val="24"/>
        </w:rPr>
        <w:t>the majority of</w:t>
      </w:r>
      <w:proofErr w:type="gramEnd"/>
      <w:r w:rsidRPr="00D516A8">
        <w:rPr>
          <w:sz w:val="24"/>
          <w:szCs w:val="24"/>
        </w:rPr>
        <w:t xml:space="preserve"> the participants with mild and moderate Total Score QOL were positive on the Spin Roll Test. While most participants with mild and severe QOL scores tested positive on the Spin </w:t>
      </w:r>
      <w:r w:rsidRPr="00D516A8">
        <w:rPr>
          <w:sz w:val="24"/>
          <w:szCs w:val="24"/>
        </w:rPr>
        <w:t>Roll Test, the p-value of 0.414 suggests that there is no meaningful statistical relationship between the Spin Roll Test results and participants' QOL scores.</w:t>
      </w:r>
    </w:p>
    <w:p w14:paraId="492BDD1C" w14:textId="3A3B4FD1" w:rsidR="00D31C88" w:rsidRPr="00C549DE" w:rsidRDefault="00D31C88" w:rsidP="00D31C88">
      <w:pPr>
        <w:jc w:val="center"/>
        <w:rPr>
          <w:bCs/>
          <w:sz w:val="20"/>
          <w:szCs w:val="20"/>
        </w:rPr>
      </w:pPr>
      <w:r w:rsidRPr="00C549DE">
        <w:rPr>
          <w:bCs/>
          <w:sz w:val="20"/>
          <w:szCs w:val="20"/>
        </w:rPr>
        <w:t xml:space="preserve">Table </w:t>
      </w:r>
      <w:r w:rsidR="0018020A">
        <w:rPr>
          <w:bCs/>
          <w:sz w:val="20"/>
          <w:szCs w:val="20"/>
        </w:rPr>
        <w:t>2</w:t>
      </w:r>
      <w:r w:rsidRPr="00C549DE">
        <w:rPr>
          <w:bCs/>
          <w:sz w:val="20"/>
          <w:szCs w:val="20"/>
        </w:rPr>
        <w:t>. Dix hall pike chi square tests</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1"/>
        <w:gridCol w:w="712"/>
        <w:gridCol w:w="3233"/>
        <w:gridCol w:w="920"/>
        <w:gridCol w:w="1089"/>
        <w:gridCol w:w="899"/>
        <w:gridCol w:w="946"/>
      </w:tblGrid>
      <w:tr w:rsidR="00923B81" w:rsidRPr="00C549DE" w14:paraId="0435D61B" w14:textId="77777777" w:rsidTr="000E5239">
        <w:trPr>
          <w:cantSplit/>
          <w:jc w:val="center"/>
        </w:trPr>
        <w:tc>
          <w:tcPr>
            <w:tcW w:w="5076" w:type="dxa"/>
            <w:gridSpan w:val="3"/>
            <w:vMerge w:val="restart"/>
            <w:shd w:val="clear" w:color="auto" w:fill="FFFFFF"/>
            <w:hideMark/>
          </w:tcPr>
          <w:p w14:paraId="7635707D"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Dix hall pike Maneuver * Total Score QOL Cross tabulation</w:t>
            </w:r>
          </w:p>
        </w:tc>
        <w:tc>
          <w:tcPr>
            <w:tcW w:w="2908" w:type="dxa"/>
            <w:gridSpan w:val="3"/>
            <w:shd w:val="clear" w:color="auto" w:fill="FFFFFF"/>
            <w:hideMark/>
          </w:tcPr>
          <w:p w14:paraId="7B297101"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Total Score QOL</w:t>
            </w:r>
          </w:p>
        </w:tc>
        <w:tc>
          <w:tcPr>
            <w:tcW w:w="946" w:type="dxa"/>
            <w:vMerge w:val="restart"/>
            <w:shd w:val="clear" w:color="auto" w:fill="FFFFFF"/>
          </w:tcPr>
          <w:p w14:paraId="7CC09C37" w14:textId="77777777" w:rsidR="00923B81" w:rsidRPr="00C549DE" w:rsidRDefault="00923B81" w:rsidP="00375CCC">
            <w:pPr>
              <w:widowControl/>
              <w:autoSpaceDE/>
              <w:autoSpaceDN/>
              <w:jc w:val="center"/>
              <w:rPr>
                <w:rFonts w:eastAsiaTheme="minorHAnsi"/>
                <w:bCs/>
                <w:color w:val="000000" w:themeColor="text1"/>
                <w:sz w:val="20"/>
                <w:szCs w:val="20"/>
              </w:rPr>
            </w:pPr>
            <w:r w:rsidRPr="00C549DE">
              <w:rPr>
                <w:rFonts w:eastAsiaTheme="minorHAnsi"/>
                <w:bCs/>
                <w:color w:val="000000" w:themeColor="text1"/>
                <w:sz w:val="20"/>
                <w:szCs w:val="20"/>
              </w:rPr>
              <w:t>P Value</w:t>
            </w:r>
          </w:p>
        </w:tc>
      </w:tr>
      <w:tr w:rsidR="00923B81" w:rsidRPr="00C549DE" w14:paraId="5ACC9D06" w14:textId="77777777" w:rsidTr="000E5239">
        <w:trPr>
          <w:cantSplit/>
          <w:jc w:val="center"/>
        </w:trPr>
        <w:tc>
          <w:tcPr>
            <w:tcW w:w="5076" w:type="dxa"/>
            <w:gridSpan w:val="3"/>
            <w:vMerge/>
            <w:vAlign w:val="center"/>
            <w:hideMark/>
          </w:tcPr>
          <w:p w14:paraId="2063817C" w14:textId="77777777" w:rsidR="00923B81" w:rsidRPr="00C549DE" w:rsidRDefault="00923B81" w:rsidP="00375CCC">
            <w:pPr>
              <w:widowControl/>
              <w:autoSpaceDE/>
              <w:autoSpaceDN/>
              <w:jc w:val="both"/>
              <w:rPr>
                <w:rFonts w:eastAsiaTheme="minorHAnsi"/>
                <w:bCs/>
                <w:color w:val="000000" w:themeColor="text1"/>
                <w:sz w:val="20"/>
                <w:szCs w:val="20"/>
              </w:rPr>
            </w:pPr>
          </w:p>
        </w:tc>
        <w:tc>
          <w:tcPr>
            <w:tcW w:w="920" w:type="dxa"/>
            <w:shd w:val="clear" w:color="auto" w:fill="FFFFFF"/>
            <w:hideMark/>
          </w:tcPr>
          <w:p w14:paraId="246B23F3"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mild</w:t>
            </w:r>
          </w:p>
        </w:tc>
        <w:tc>
          <w:tcPr>
            <w:tcW w:w="1089" w:type="dxa"/>
            <w:shd w:val="clear" w:color="auto" w:fill="FFFFFF"/>
            <w:hideMark/>
          </w:tcPr>
          <w:p w14:paraId="3D4EFA11"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moderate</w:t>
            </w:r>
          </w:p>
        </w:tc>
        <w:tc>
          <w:tcPr>
            <w:tcW w:w="899" w:type="dxa"/>
            <w:shd w:val="clear" w:color="auto" w:fill="FFFFFF"/>
            <w:hideMark/>
          </w:tcPr>
          <w:p w14:paraId="19DC4162"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severe</w:t>
            </w:r>
          </w:p>
        </w:tc>
        <w:tc>
          <w:tcPr>
            <w:tcW w:w="946" w:type="dxa"/>
            <w:vMerge/>
          </w:tcPr>
          <w:p w14:paraId="70753058" w14:textId="77777777" w:rsidR="00923B81" w:rsidRPr="00C549DE" w:rsidRDefault="00923B81" w:rsidP="00375CCC">
            <w:pPr>
              <w:widowControl/>
              <w:autoSpaceDE/>
              <w:autoSpaceDN/>
              <w:jc w:val="both"/>
              <w:rPr>
                <w:rFonts w:eastAsiaTheme="minorHAnsi"/>
                <w:bCs/>
                <w:color w:val="000000" w:themeColor="text1"/>
                <w:sz w:val="20"/>
                <w:szCs w:val="20"/>
              </w:rPr>
            </w:pPr>
          </w:p>
        </w:tc>
      </w:tr>
      <w:tr w:rsidR="00923B81" w:rsidRPr="00C549DE" w14:paraId="575B1E44" w14:textId="77777777" w:rsidTr="000E5239">
        <w:trPr>
          <w:cantSplit/>
          <w:jc w:val="center"/>
        </w:trPr>
        <w:tc>
          <w:tcPr>
            <w:tcW w:w="1131" w:type="dxa"/>
            <w:vMerge w:val="restart"/>
            <w:shd w:val="clear" w:color="auto" w:fill="FFFFFF"/>
            <w:textDirection w:val="btLr"/>
            <w:vAlign w:val="center"/>
            <w:hideMark/>
          </w:tcPr>
          <w:p w14:paraId="76B0CF29" w14:textId="77777777" w:rsidR="00923B81" w:rsidRPr="00C549DE" w:rsidRDefault="00923B81" w:rsidP="00375CCC">
            <w:pPr>
              <w:widowControl/>
              <w:autoSpaceDE/>
              <w:autoSpaceDN/>
              <w:ind w:left="113" w:right="113"/>
              <w:jc w:val="center"/>
              <w:rPr>
                <w:rFonts w:eastAsiaTheme="minorHAnsi"/>
                <w:bCs/>
                <w:color w:val="000000" w:themeColor="text1"/>
                <w:sz w:val="20"/>
                <w:szCs w:val="20"/>
              </w:rPr>
            </w:pPr>
            <w:r w:rsidRPr="00C549DE">
              <w:rPr>
                <w:rFonts w:eastAsiaTheme="minorHAnsi"/>
                <w:bCs/>
                <w:color w:val="000000" w:themeColor="text1"/>
                <w:sz w:val="20"/>
                <w:szCs w:val="20"/>
              </w:rPr>
              <w:t>Dix hall pike Maneuver</w:t>
            </w:r>
          </w:p>
        </w:tc>
        <w:tc>
          <w:tcPr>
            <w:tcW w:w="712" w:type="dxa"/>
            <w:vMerge w:val="restart"/>
            <w:shd w:val="clear" w:color="auto" w:fill="FFFFFF"/>
            <w:vAlign w:val="center"/>
            <w:hideMark/>
          </w:tcPr>
          <w:p w14:paraId="78084BE1"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Positive</w:t>
            </w:r>
          </w:p>
        </w:tc>
        <w:tc>
          <w:tcPr>
            <w:tcW w:w="3233" w:type="dxa"/>
            <w:shd w:val="clear" w:color="auto" w:fill="FFFFFF"/>
            <w:vAlign w:val="center"/>
            <w:hideMark/>
          </w:tcPr>
          <w:p w14:paraId="7153FDD5"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Count</w:t>
            </w:r>
          </w:p>
        </w:tc>
        <w:tc>
          <w:tcPr>
            <w:tcW w:w="920" w:type="dxa"/>
            <w:shd w:val="clear" w:color="auto" w:fill="FFFFFF"/>
            <w:hideMark/>
          </w:tcPr>
          <w:p w14:paraId="3E3DC166"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15</w:t>
            </w:r>
          </w:p>
        </w:tc>
        <w:tc>
          <w:tcPr>
            <w:tcW w:w="1089" w:type="dxa"/>
            <w:shd w:val="clear" w:color="auto" w:fill="FFFFFF"/>
            <w:hideMark/>
          </w:tcPr>
          <w:p w14:paraId="62314AFB"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10</w:t>
            </w:r>
          </w:p>
        </w:tc>
        <w:tc>
          <w:tcPr>
            <w:tcW w:w="899" w:type="dxa"/>
            <w:shd w:val="clear" w:color="auto" w:fill="FFFFFF"/>
            <w:hideMark/>
          </w:tcPr>
          <w:p w14:paraId="181672BA"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2</w:t>
            </w:r>
          </w:p>
        </w:tc>
        <w:tc>
          <w:tcPr>
            <w:tcW w:w="946" w:type="dxa"/>
            <w:vMerge w:val="restart"/>
            <w:shd w:val="clear" w:color="auto" w:fill="FFFFFF"/>
          </w:tcPr>
          <w:p w14:paraId="08EBC116" w14:textId="77777777" w:rsidR="00923B81" w:rsidRPr="00C549DE" w:rsidRDefault="00923B81" w:rsidP="00375CCC">
            <w:pPr>
              <w:widowControl/>
              <w:autoSpaceDE/>
              <w:autoSpaceDN/>
              <w:jc w:val="center"/>
              <w:rPr>
                <w:rFonts w:eastAsiaTheme="minorHAnsi"/>
                <w:bCs/>
                <w:color w:val="000000" w:themeColor="text1"/>
                <w:sz w:val="20"/>
                <w:szCs w:val="20"/>
              </w:rPr>
            </w:pPr>
            <w:r w:rsidRPr="00C549DE">
              <w:rPr>
                <w:rFonts w:eastAsiaTheme="minorHAnsi"/>
                <w:bCs/>
                <w:color w:val="000000" w:themeColor="text1"/>
                <w:sz w:val="20"/>
                <w:szCs w:val="20"/>
              </w:rPr>
              <w:t>0.414</w:t>
            </w:r>
          </w:p>
        </w:tc>
      </w:tr>
      <w:tr w:rsidR="00923B81" w:rsidRPr="00C549DE" w14:paraId="1645A6AF" w14:textId="77777777" w:rsidTr="000E5239">
        <w:trPr>
          <w:cantSplit/>
          <w:jc w:val="center"/>
        </w:trPr>
        <w:tc>
          <w:tcPr>
            <w:tcW w:w="1131" w:type="dxa"/>
            <w:vMerge/>
            <w:vAlign w:val="center"/>
            <w:hideMark/>
          </w:tcPr>
          <w:p w14:paraId="5DA4F629" w14:textId="77777777" w:rsidR="00923B81" w:rsidRPr="00C549DE" w:rsidRDefault="00923B81" w:rsidP="00375CCC">
            <w:pPr>
              <w:widowControl/>
              <w:autoSpaceDE/>
              <w:autoSpaceDN/>
              <w:jc w:val="both"/>
              <w:rPr>
                <w:rFonts w:eastAsiaTheme="minorHAnsi"/>
                <w:bCs/>
                <w:color w:val="000000" w:themeColor="text1"/>
                <w:sz w:val="20"/>
                <w:szCs w:val="20"/>
              </w:rPr>
            </w:pPr>
          </w:p>
        </w:tc>
        <w:tc>
          <w:tcPr>
            <w:tcW w:w="712" w:type="dxa"/>
            <w:vMerge/>
            <w:vAlign w:val="center"/>
            <w:hideMark/>
          </w:tcPr>
          <w:p w14:paraId="1C846C79" w14:textId="77777777" w:rsidR="00923B81" w:rsidRPr="00C549DE" w:rsidRDefault="00923B81" w:rsidP="00375CCC">
            <w:pPr>
              <w:widowControl/>
              <w:autoSpaceDE/>
              <w:autoSpaceDN/>
              <w:jc w:val="both"/>
              <w:rPr>
                <w:rFonts w:eastAsiaTheme="minorHAnsi"/>
                <w:bCs/>
                <w:color w:val="000000" w:themeColor="text1"/>
                <w:sz w:val="20"/>
                <w:szCs w:val="20"/>
              </w:rPr>
            </w:pPr>
          </w:p>
        </w:tc>
        <w:tc>
          <w:tcPr>
            <w:tcW w:w="3233" w:type="dxa"/>
            <w:shd w:val="clear" w:color="auto" w:fill="FFFFFF"/>
            <w:vAlign w:val="center"/>
            <w:hideMark/>
          </w:tcPr>
          <w:p w14:paraId="1F420ED0"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 within Dix Hall pike Maneuver</w:t>
            </w:r>
          </w:p>
        </w:tc>
        <w:tc>
          <w:tcPr>
            <w:tcW w:w="920" w:type="dxa"/>
            <w:shd w:val="clear" w:color="auto" w:fill="FFFFFF"/>
            <w:hideMark/>
          </w:tcPr>
          <w:p w14:paraId="443F0586"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55.6%</w:t>
            </w:r>
          </w:p>
        </w:tc>
        <w:tc>
          <w:tcPr>
            <w:tcW w:w="1089" w:type="dxa"/>
            <w:shd w:val="clear" w:color="auto" w:fill="FFFFFF"/>
            <w:hideMark/>
          </w:tcPr>
          <w:p w14:paraId="40C3B5DA"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37.0%</w:t>
            </w:r>
          </w:p>
        </w:tc>
        <w:tc>
          <w:tcPr>
            <w:tcW w:w="899" w:type="dxa"/>
            <w:shd w:val="clear" w:color="auto" w:fill="FFFFFF"/>
            <w:hideMark/>
          </w:tcPr>
          <w:p w14:paraId="2F2453AC"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7.4%</w:t>
            </w:r>
          </w:p>
        </w:tc>
        <w:tc>
          <w:tcPr>
            <w:tcW w:w="946" w:type="dxa"/>
            <w:vMerge/>
            <w:shd w:val="clear" w:color="auto" w:fill="FFFFFF"/>
          </w:tcPr>
          <w:p w14:paraId="74CA770A" w14:textId="77777777" w:rsidR="00923B81" w:rsidRPr="00C549DE" w:rsidRDefault="00923B81" w:rsidP="00375CCC">
            <w:pPr>
              <w:widowControl/>
              <w:autoSpaceDE/>
              <w:autoSpaceDN/>
              <w:jc w:val="center"/>
              <w:rPr>
                <w:rFonts w:eastAsiaTheme="minorHAnsi"/>
                <w:bCs/>
                <w:color w:val="000000" w:themeColor="text1"/>
                <w:sz w:val="20"/>
                <w:szCs w:val="20"/>
              </w:rPr>
            </w:pPr>
          </w:p>
        </w:tc>
      </w:tr>
      <w:tr w:rsidR="00923B81" w:rsidRPr="00C549DE" w14:paraId="5D33ADE6" w14:textId="77777777" w:rsidTr="000E5239">
        <w:trPr>
          <w:cantSplit/>
          <w:jc w:val="center"/>
        </w:trPr>
        <w:tc>
          <w:tcPr>
            <w:tcW w:w="1131" w:type="dxa"/>
            <w:vMerge/>
            <w:vAlign w:val="center"/>
            <w:hideMark/>
          </w:tcPr>
          <w:p w14:paraId="0918385B" w14:textId="77777777" w:rsidR="00923B81" w:rsidRPr="00C549DE" w:rsidRDefault="00923B81" w:rsidP="00375CCC">
            <w:pPr>
              <w:widowControl/>
              <w:autoSpaceDE/>
              <w:autoSpaceDN/>
              <w:jc w:val="both"/>
              <w:rPr>
                <w:rFonts w:eastAsiaTheme="minorHAnsi"/>
                <w:bCs/>
                <w:color w:val="000000" w:themeColor="text1"/>
                <w:sz w:val="20"/>
                <w:szCs w:val="20"/>
              </w:rPr>
            </w:pPr>
          </w:p>
        </w:tc>
        <w:tc>
          <w:tcPr>
            <w:tcW w:w="712" w:type="dxa"/>
            <w:vMerge/>
            <w:vAlign w:val="center"/>
            <w:hideMark/>
          </w:tcPr>
          <w:p w14:paraId="0136B80E" w14:textId="77777777" w:rsidR="00923B81" w:rsidRPr="00C549DE" w:rsidRDefault="00923B81" w:rsidP="00375CCC">
            <w:pPr>
              <w:widowControl/>
              <w:autoSpaceDE/>
              <w:autoSpaceDN/>
              <w:jc w:val="both"/>
              <w:rPr>
                <w:rFonts w:eastAsiaTheme="minorHAnsi"/>
                <w:bCs/>
                <w:color w:val="000000" w:themeColor="text1"/>
                <w:sz w:val="20"/>
                <w:szCs w:val="20"/>
              </w:rPr>
            </w:pPr>
          </w:p>
        </w:tc>
        <w:tc>
          <w:tcPr>
            <w:tcW w:w="3233" w:type="dxa"/>
            <w:shd w:val="clear" w:color="auto" w:fill="FFFFFF"/>
            <w:vAlign w:val="center"/>
            <w:hideMark/>
          </w:tcPr>
          <w:p w14:paraId="2B3F9F05"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 within Total Score QOL</w:t>
            </w:r>
          </w:p>
        </w:tc>
        <w:tc>
          <w:tcPr>
            <w:tcW w:w="920" w:type="dxa"/>
            <w:shd w:val="clear" w:color="auto" w:fill="FFFFFF"/>
            <w:hideMark/>
          </w:tcPr>
          <w:p w14:paraId="42C4438E"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100.0%</w:t>
            </w:r>
          </w:p>
        </w:tc>
        <w:tc>
          <w:tcPr>
            <w:tcW w:w="1089" w:type="dxa"/>
            <w:shd w:val="clear" w:color="auto" w:fill="FFFFFF"/>
            <w:hideMark/>
          </w:tcPr>
          <w:p w14:paraId="7E608186"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100.0%</w:t>
            </w:r>
          </w:p>
        </w:tc>
        <w:tc>
          <w:tcPr>
            <w:tcW w:w="899" w:type="dxa"/>
            <w:shd w:val="clear" w:color="auto" w:fill="FFFFFF"/>
            <w:hideMark/>
          </w:tcPr>
          <w:p w14:paraId="5755FF98"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100.0%</w:t>
            </w:r>
          </w:p>
        </w:tc>
        <w:tc>
          <w:tcPr>
            <w:tcW w:w="946" w:type="dxa"/>
            <w:vMerge/>
            <w:shd w:val="clear" w:color="auto" w:fill="FFFFFF"/>
          </w:tcPr>
          <w:p w14:paraId="11DCC30E" w14:textId="77777777" w:rsidR="00923B81" w:rsidRPr="00C549DE" w:rsidRDefault="00923B81" w:rsidP="00375CCC">
            <w:pPr>
              <w:widowControl/>
              <w:autoSpaceDE/>
              <w:autoSpaceDN/>
              <w:jc w:val="center"/>
              <w:rPr>
                <w:rFonts w:eastAsiaTheme="minorHAnsi"/>
                <w:bCs/>
                <w:color w:val="000000" w:themeColor="text1"/>
                <w:sz w:val="20"/>
                <w:szCs w:val="20"/>
              </w:rPr>
            </w:pPr>
          </w:p>
        </w:tc>
      </w:tr>
      <w:tr w:rsidR="00923B81" w:rsidRPr="00C549DE" w14:paraId="01EB7169" w14:textId="77777777" w:rsidTr="000E5239">
        <w:trPr>
          <w:cantSplit/>
          <w:jc w:val="center"/>
        </w:trPr>
        <w:tc>
          <w:tcPr>
            <w:tcW w:w="1131" w:type="dxa"/>
            <w:vMerge/>
            <w:vAlign w:val="center"/>
            <w:hideMark/>
          </w:tcPr>
          <w:p w14:paraId="22A34B24" w14:textId="77777777" w:rsidR="00923B81" w:rsidRPr="00C549DE" w:rsidRDefault="00923B81" w:rsidP="00375CCC">
            <w:pPr>
              <w:widowControl/>
              <w:autoSpaceDE/>
              <w:autoSpaceDN/>
              <w:jc w:val="both"/>
              <w:rPr>
                <w:rFonts w:eastAsiaTheme="minorHAnsi"/>
                <w:bCs/>
                <w:color w:val="000000" w:themeColor="text1"/>
                <w:sz w:val="20"/>
                <w:szCs w:val="20"/>
              </w:rPr>
            </w:pPr>
          </w:p>
        </w:tc>
        <w:tc>
          <w:tcPr>
            <w:tcW w:w="712" w:type="dxa"/>
            <w:vMerge/>
            <w:vAlign w:val="center"/>
            <w:hideMark/>
          </w:tcPr>
          <w:p w14:paraId="6D865DD8" w14:textId="77777777" w:rsidR="00923B81" w:rsidRPr="00C549DE" w:rsidRDefault="00923B81" w:rsidP="00375CCC">
            <w:pPr>
              <w:widowControl/>
              <w:autoSpaceDE/>
              <w:autoSpaceDN/>
              <w:jc w:val="both"/>
              <w:rPr>
                <w:rFonts w:eastAsiaTheme="minorHAnsi"/>
                <w:bCs/>
                <w:color w:val="000000" w:themeColor="text1"/>
                <w:sz w:val="20"/>
                <w:szCs w:val="20"/>
              </w:rPr>
            </w:pPr>
          </w:p>
        </w:tc>
        <w:tc>
          <w:tcPr>
            <w:tcW w:w="3233" w:type="dxa"/>
            <w:shd w:val="clear" w:color="auto" w:fill="FFFFFF"/>
            <w:vAlign w:val="center"/>
            <w:hideMark/>
          </w:tcPr>
          <w:p w14:paraId="56CB2965"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 of Total</w:t>
            </w:r>
          </w:p>
        </w:tc>
        <w:tc>
          <w:tcPr>
            <w:tcW w:w="920" w:type="dxa"/>
            <w:shd w:val="clear" w:color="auto" w:fill="FFFFFF"/>
            <w:hideMark/>
          </w:tcPr>
          <w:p w14:paraId="4AFFE055"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55.6%</w:t>
            </w:r>
          </w:p>
        </w:tc>
        <w:tc>
          <w:tcPr>
            <w:tcW w:w="1089" w:type="dxa"/>
            <w:shd w:val="clear" w:color="auto" w:fill="FFFFFF"/>
            <w:hideMark/>
          </w:tcPr>
          <w:p w14:paraId="554DF225"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37.0%</w:t>
            </w:r>
          </w:p>
        </w:tc>
        <w:tc>
          <w:tcPr>
            <w:tcW w:w="899" w:type="dxa"/>
            <w:shd w:val="clear" w:color="auto" w:fill="FFFFFF"/>
            <w:hideMark/>
          </w:tcPr>
          <w:p w14:paraId="2A4F6A68" w14:textId="77777777" w:rsidR="00923B81" w:rsidRPr="00C549DE" w:rsidRDefault="00923B81" w:rsidP="00375CCC">
            <w:pPr>
              <w:widowControl/>
              <w:autoSpaceDE/>
              <w:autoSpaceDN/>
              <w:jc w:val="both"/>
              <w:rPr>
                <w:rFonts w:eastAsiaTheme="minorHAnsi"/>
                <w:bCs/>
                <w:color w:val="000000" w:themeColor="text1"/>
                <w:sz w:val="20"/>
                <w:szCs w:val="20"/>
              </w:rPr>
            </w:pPr>
            <w:r w:rsidRPr="00C549DE">
              <w:rPr>
                <w:rFonts w:eastAsiaTheme="minorHAnsi"/>
                <w:bCs/>
                <w:color w:val="000000" w:themeColor="text1"/>
                <w:sz w:val="20"/>
                <w:szCs w:val="20"/>
              </w:rPr>
              <w:t>7.4%</w:t>
            </w:r>
          </w:p>
        </w:tc>
        <w:tc>
          <w:tcPr>
            <w:tcW w:w="946" w:type="dxa"/>
            <w:vMerge/>
            <w:shd w:val="clear" w:color="auto" w:fill="FFFFFF"/>
          </w:tcPr>
          <w:p w14:paraId="19EBB0D4" w14:textId="77777777" w:rsidR="00923B81" w:rsidRPr="00C549DE" w:rsidRDefault="00923B81" w:rsidP="00375CCC">
            <w:pPr>
              <w:widowControl/>
              <w:autoSpaceDE/>
              <w:autoSpaceDN/>
              <w:jc w:val="center"/>
              <w:rPr>
                <w:rFonts w:eastAsiaTheme="minorHAnsi"/>
                <w:bCs/>
                <w:color w:val="000000" w:themeColor="text1"/>
                <w:sz w:val="20"/>
                <w:szCs w:val="20"/>
              </w:rPr>
            </w:pPr>
          </w:p>
        </w:tc>
      </w:tr>
    </w:tbl>
    <w:p w14:paraId="1E32F69A" w14:textId="77777777" w:rsidR="005E7F28" w:rsidRDefault="005E7F28" w:rsidP="00FB73BB">
      <w:pPr>
        <w:widowControl/>
        <w:autoSpaceDE/>
        <w:autoSpaceDN/>
        <w:jc w:val="both"/>
        <w:rPr>
          <w:sz w:val="24"/>
          <w:szCs w:val="24"/>
        </w:rPr>
        <w:sectPr w:rsidR="005E7F28" w:rsidSect="001F1F79">
          <w:type w:val="continuous"/>
          <w:pgSz w:w="11910" w:h="16840"/>
          <w:pgMar w:top="1440" w:right="1440" w:bottom="1440" w:left="1440" w:header="584" w:footer="450" w:gutter="0"/>
          <w:cols w:space="262"/>
          <w:docGrid w:linePitch="299"/>
        </w:sectPr>
      </w:pPr>
    </w:p>
    <w:p w14:paraId="242B395B" w14:textId="77777777" w:rsidR="005E7F28" w:rsidRDefault="005E7F28" w:rsidP="00FB73BB">
      <w:pPr>
        <w:widowControl/>
        <w:autoSpaceDE/>
        <w:autoSpaceDN/>
        <w:jc w:val="both"/>
        <w:rPr>
          <w:sz w:val="24"/>
          <w:szCs w:val="24"/>
        </w:rPr>
        <w:sectPr w:rsidR="005E7F28" w:rsidSect="001F1F79">
          <w:type w:val="continuous"/>
          <w:pgSz w:w="11910" w:h="16840"/>
          <w:pgMar w:top="1440" w:right="1440" w:bottom="1440" w:left="1440" w:header="584" w:footer="450" w:gutter="0"/>
          <w:cols w:space="262"/>
          <w:docGrid w:linePitch="299"/>
        </w:sectPr>
      </w:pPr>
    </w:p>
    <w:p w14:paraId="61821B24" w14:textId="77777777" w:rsidR="00D516A8" w:rsidRPr="00D516A8" w:rsidRDefault="00D516A8" w:rsidP="00FB73BB">
      <w:pPr>
        <w:widowControl/>
        <w:autoSpaceDE/>
        <w:autoSpaceDN/>
        <w:jc w:val="both"/>
        <w:rPr>
          <w:b/>
          <w:sz w:val="24"/>
          <w:szCs w:val="24"/>
        </w:rPr>
      </w:pPr>
      <w:r w:rsidRPr="00D516A8">
        <w:rPr>
          <w:sz w:val="24"/>
          <w:szCs w:val="24"/>
        </w:rPr>
        <w:t>The table showed the results of the Dix Hall Pike Maneuver and how it relates to the participants' Quality of Life (QOL) scores, categorized as mild, moderate, or severe. All 27 participants tested positive in the Dix Hall Pike Maneuver. 15 participants (55.6%) had mild QOL scores. 10 participants (37.0%) had moderate QOL scores. 2 participants (7.4%) had severe QOL scores.</w:t>
      </w:r>
    </w:p>
    <w:p w14:paraId="49DA7A87" w14:textId="77777777" w:rsidR="00D516A8" w:rsidRPr="00D516A8" w:rsidRDefault="00D516A8" w:rsidP="00FB73BB">
      <w:pPr>
        <w:widowControl/>
        <w:autoSpaceDE/>
        <w:autoSpaceDN/>
        <w:jc w:val="both"/>
        <w:rPr>
          <w:b/>
          <w:sz w:val="24"/>
          <w:szCs w:val="24"/>
        </w:rPr>
      </w:pPr>
      <w:r w:rsidRPr="00D516A8">
        <w:rPr>
          <w:sz w:val="24"/>
          <w:szCs w:val="24"/>
        </w:rPr>
        <w:t>In terms of distribution within QOL categories, 100% of participants in each QOL group (mild, moderate, and severe) had a positive result in the Dix Hall Pike Maneuver. This means that the maneuver did not show variation across different levels of QOL in this sample, as all participants tested positive regardless of their QOL scores.</w:t>
      </w:r>
    </w:p>
    <w:p w14:paraId="1AE4E4AA" w14:textId="5D9B799D" w:rsidR="00D516A8" w:rsidRPr="00D516A8" w:rsidRDefault="00D516A8" w:rsidP="00FB73BB">
      <w:pPr>
        <w:widowControl/>
        <w:autoSpaceDE/>
        <w:autoSpaceDN/>
        <w:jc w:val="both"/>
        <w:rPr>
          <w:b/>
          <w:sz w:val="24"/>
          <w:szCs w:val="24"/>
        </w:rPr>
      </w:pPr>
      <w:r w:rsidRPr="00D516A8">
        <w:rPr>
          <w:sz w:val="24"/>
          <w:szCs w:val="24"/>
        </w:rPr>
        <w:t>The p-value is 0.414, which indicates there is no statistically significant relationship between the Dix Hall Pike Maneuver results and QOL scores. The lack of negative results and the uniform positive test outcomes suggest that this maneuver may not differentiate well between different levels of QOL in this particular sample.</w:t>
      </w:r>
    </w:p>
    <w:p w14:paraId="544E8853" w14:textId="77777777" w:rsidR="005E719B" w:rsidRDefault="00D516A8" w:rsidP="00FB73BB">
      <w:pPr>
        <w:widowControl/>
        <w:autoSpaceDE/>
        <w:autoSpaceDN/>
        <w:jc w:val="both"/>
        <w:rPr>
          <w:sz w:val="24"/>
          <w:szCs w:val="24"/>
        </w:rPr>
      </w:pPr>
      <w:r w:rsidRPr="00D516A8">
        <w:rPr>
          <w:sz w:val="24"/>
          <w:szCs w:val="24"/>
        </w:rPr>
        <w:t xml:space="preserve">The study showed a significant prevalence of vertigo symptoms among participants, with various degrees of impact on their quality of life. There’s a need for further investigation </w:t>
      </w:r>
      <w:r w:rsidRPr="00D516A8">
        <w:rPr>
          <w:sz w:val="24"/>
          <w:szCs w:val="24"/>
        </w:rPr>
        <w:t>into the relationship between vertigo symptoms and quality of life, considering potential confounding factors.</w:t>
      </w:r>
      <w:r w:rsidR="00511F08">
        <w:rPr>
          <w:sz w:val="24"/>
          <w:szCs w:val="24"/>
        </w:rPr>
        <w:t xml:space="preserve"> </w:t>
      </w:r>
      <w:r w:rsidRPr="00D516A8">
        <w:rPr>
          <w:sz w:val="24"/>
          <w:szCs w:val="24"/>
        </w:rPr>
        <w:t>Interventions aimed at managing vertigo symptoms could potentially improve participants' quality of life, especially for those experiencing severe symptoms. Strategies to address missing data in quality-of-life assessments should be implemented to ensure comprehensive data analysis and interpretation.</w:t>
      </w:r>
    </w:p>
    <w:p w14:paraId="57D52918" w14:textId="2D1D3387" w:rsidR="00033E15" w:rsidRPr="005E719B" w:rsidRDefault="00033E15" w:rsidP="00FB73BB">
      <w:pPr>
        <w:widowControl/>
        <w:autoSpaceDE/>
        <w:autoSpaceDN/>
        <w:jc w:val="both"/>
        <w:rPr>
          <w:sz w:val="24"/>
          <w:szCs w:val="24"/>
        </w:rPr>
      </w:pPr>
      <w:r w:rsidRPr="00E61797">
        <w:rPr>
          <w:b/>
          <w:bCs/>
          <w:color w:val="7030A0"/>
          <w:spacing w:val="-2"/>
          <w:sz w:val="24"/>
          <w:szCs w:val="24"/>
        </w:rPr>
        <w:t>DISCUSSION</w:t>
      </w:r>
    </w:p>
    <w:p w14:paraId="5736341A" w14:textId="585CEEBB" w:rsidR="00D516A8" w:rsidRPr="00D516A8" w:rsidRDefault="00D516A8" w:rsidP="00FB73BB">
      <w:pPr>
        <w:jc w:val="both"/>
        <w:rPr>
          <w:bCs/>
          <w:sz w:val="24"/>
          <w:szCs w:val="24"/>
        </w:rPr>
      </w:pPr>
      <w:r w:rsidRPr="00D516A8">
        <w:rPr>
          <w:bCs/>
          <w:sz w:val="24"/>
          <w:szCs w:val="24"/>
        </w:rPr>
        <w:t xml:space="preserve">The current study aims to determine the prevalence and association between vertigo symptoms, quality of life, and other related characteristics in a group of 219 </w:t>
      </w:r>
      <w:r>
        <w:rPr>
          <w:bCs/>
          <w:sz w:val="24"/>
          <w:szCs w:val="24"/>
        </w:rPr>
        <w:t>participants</w:t>
      </w:r>
      <w:r w:rsidRPr="00D516A8">
        <w:rPr>
          <w:bCs/>
          <w:sz w:val="24"/>
          <w:szCs w:val="24"/>
        </w:rPr>
        <w:t>. The data analysis revealed important information about the prevalence of vertigo symptoms, the distribution of quality of life scores, and probable associations between various variables. The vast majority of participants (82.2%) were female, with only 17.8% male. Previous research concentrated on the older population. According to reports, the elderly population of BPPV was 23.9%. (Moreira, Costa et al. 2014)</w:t>
      </w:r>
    </w:p>
    <w:p w14:paraId="5579BBB6" w14:textId="656A6717" w:rsidR="00D516A8" w:rsidRPr="00D516A8" w:rsidRDefault="00D516A8" w:rsidP="00FB73BB">
      <w:pPr>
        <w:jc w:val="both"/>
        <w:rPr>
          <w:bCs/>
          <w:sz w:val="24"/>
          <w:szCs w:val="24"/>
          <w:vertAlign w:val="superscript"/>
        </w:rPr>
      </w:pPr>
      <w:r w:rsidRPr="00D516A8">
        <w:rPr>
          <w:bCs/>
          <w:sz w:val="24"/>
          <w:szCs w:val="24"/>
        </w:rPr>
        <w:t xml:space="preserve">The study found that 43.4% of subjects felt dizzy, and 34.7% felt as though their surroundings were whirling around them. Furthermore, 23.3% of participants felt sick </w:t>
      </w:r>
      <w:r w:rsidRPr="00D516A8">
        <w:rPr>
          <w:bCs/>
          <w:sz w:val="24"/>
          <w:szCs w:val="24"/>
        </w:rPr>
        <w:lastRenderedPageBreak/>
        <w:t>when moving their heads, and 31.5% felt like they were floating or off-balance, like to being at sea. These data emphasize the sample population's high prevalence of vertigo-related symptoms.</w:t>
      </w:r>
      <w:r>
        <w:rPr>
          <w:bCs/>
          <w:sz w:val="24"/>
          <w:szCs w:val="24"/>
        </w:rPr>
        <w:t xml:space="preserve"> </w:t>
      </w:r>
      <w:r w:rsidRPr="00D516A8">
        <w:rPr>
          <w:bCs/>
          <w:sz w:val="24"/>
          <w:szCs w:val="24"/>
        </w:rPr>
        <w:t>Older adults exhibited higher incidence of RD after successful treatment for BPPV. Age, moderate to severe dizziness, and moderate to severe anxiety were independent risk factors of RD in middle-aged and older adults.</w:t>
      </w:r>
      <w:r w:rsidRPr="00D516A8">
        <w:rPr>
          <w:bCs/>
          <w:sz w:val="24"/>
          <w:szCs w:val="24"/>
          <w:vertAlign w:val="superscript"/>
        </w:rPr>
        <w:t>13</w:t>
      </w:r>
    </w:p>
    <w:p w14:paraId="3A230F08" w14:textId="0EE6504E" w:rsidR="00D516A8" w:rsidRPr="00D516A8" w:rsidRDefault="00D516A8" w:rsidP="00FB73BB">
      <w:pPr>
        <w:jc w:val="both"/>
        <w:rPr>
          <w:bCs/>
          <w:sz w:val="24"/>
          <w:szCs w:val="24"/>
          <w:vertAlign w:val="superscript"/>
        </w:rPr>
      </w:pPr>
      <w:r w:rsidRPr="00D516A8">
        <w:rPr>
          <w:bCs/>
          <w:sz w:val="24"/>
          <w:szCs w:val="24"/>
        </w:rPr>
        <w:t xml:space="preserve">The study </w:t>
      </w:r>
      <w:r w:rsidR="000C74BB" w:rsidRPr="00D516A8">
        <w:rPr>
          <w:bCs/>
          <w:sz w:val="24"/>
          <w:szCs w:val="24"/>
        </w:rPr>
        <w:t>investigated</w:t>
      </w:r>
      <w:r w:rsidRPr="00D516A8">
        <w:rPr>
          <w:bCs/>
          <w:sz w:val="24"/>
          <w:szCs w:val="24"/>
        </w:rPr>
        <w:t xml:space="preserve"> possible links between vertigo symptoms and quality of life scores using the Spin Roll Test and the Dix-Hallpike Maneuver. Surprisingly, the Chi-Square test findings revealed no significant relationship between the outcomes of these vertigo evaluation tests and the levels of quality of life (mild, moderate, or severe). Increased awareness of BPPV in pediatric patients may reduce delays in identification and treatment.</w:t>
      </w:r>
      <w:r w:rsidRPr="00D516A8">
        <w:rPr>
          <w:bCs/>
          <w:sz w:val="24"/>
          <w:szCs w:val="24"/>
          <w:vertAlign w:val="superscript"/>
        </w:rPr>
        <w:t>20</w:t>
      </w:r>
      <w:r>
        <w:rPr>
          <w:bCs/>
          <w:sz w:val="24"/>
          <w:szCs w:val="24"/>
        </w:rPr>
        <w:t xml:space="preserve"> </w:t>
      </w:r>
      <w:r w:rsidRPr="00D516A8">
        <w:rPr>
          <w:bCs/>
          <w:sz w:val="24"/>
          <w:szCs w:val="24"/>
        </w:rPr>
        <w:t>this shows that the presence of vertigo symptoms, as judged by these tests, does not directly correlate with the participants' overall quality of life. Previous studies employed The Dizziness Handicap Inventory (DHI) median score of 55.5 (a score greater than 60 implies a risk of falling). Seventy-five percent of employees were on 50-100% sick leave. Eighty-one percent had experienced head or neck injuries. Nineteen percent have no recollection of any trauma. Nautical vertigo and dizziness (81%) was considerably more common in our population than rotatory vertigo (20%) discomfort was indicated as a primary symptom by the majority of patients (87%): neck discomfort (87%), headache (75%), and generalized pain (40%). The most often reported symptoms were fatigue (85%), visual abnormalities (84%), and impaired concentration ability (81%). Unexpected observations during otolith repositioning maneuvers included involuntary movements of the limbs, face, neck, or torso (12%). (Kerrigan, Costigan et al. 2013). Hormonal factors or differences in health-seeking behavior might explain the disproportionate incidence of BPPV and other vestibular disorders in women.</w:t>
      </w:r>
      <w:r w:rsidRPr="00D516A8">
        <w:rPr>
          <w:bCs/>
          <w:sz w:val="24"/>
          <w:szCs w:val="24"/>
          <w:vertAlign w:val="superscript"/>
        </w:rPr>
        <w:t>21</w:t>
      </w:r>
      <w:r>
        <w:rPr>
          <w:bCs/>
          <w:sz w:val="24"/>
          <w:szCs w:val="24"/>
        </w:rPr>
        <w:t xml:space="preserve"> </w:t>
      </w:r>
      <w:r w:rsidRPr="00D516A8">
        <w:rPr>
          <w:bCs/>
          <w:sz w:val="24"/>
          <w:szCs w:val="24"/>
        </w:rPr>
        <w:t xml:space="preserve">The current study’s lack of significant association between </w:t>
      </w:r>
      <w:r w:rsidRPr="00D516A8">
        <w:rPr>
          <w:bCs/>
          <w:sz w:val="24"/>
          <w:szCs w:val="24"/>
        </w:rPr>
        <w:t>vertigo test results and quality of life could be due to the relatively young and asymptomatic nature of the sample. This contrasts with older populations, where BPPV, anxiety, and physical comorbidities strongly affect quality of life post-diagnosis.</w:t>
      </w:r>
      <w:r w:rsidRPr="00D516A8">
        <w:rPr>
          <w:bCs/>
          <w:sz w:val="24"/>
          <w:szCs w:val="24"/>
          <w:vertAlign w:val="superscript"/>
        </w:rPr>
        <w:t>22</w:t>
      </w:r>
    </w:p>
    <w:p w14:paraId="171B8747" w14:textId="040CA4E2" w:rsidR="00D516A8" w:rsidRPr="00D516A8" w:rsidRDefault="00D516A8" w:rsidP="00FB73BB">
      <w:pPr>
        <w:jc w:val="both"/>
        <w:rPr>
          <w:b/>
          <w:bCs/>
          <w:sz w:val="24"/>
          <w:szCs w:val="24"/>
        </w:rPr>
      </w:pPr>
      <w:r w:rsidRPr="00D516A8">
        <w:rPr>
          <w:b/>
          <w:bCs/>
          <w:sz w:val="24"/>
          <w:szCs w:val="24"/>
        </w:rPr>
        <w:t>Recommendations</w:t>
      </w:r>
    </w:p>
    <w:p w14:paraId="741E24D3" w14:textId="4D2BEE70" w:rsidR="00D516A8" w:rsidRPr="00D516A8" w:rsidRDefault="00D516A8" w:rsidP="00FB73BB">
      <w:pPr>
        <w:widowControl/>
        <w:autoSpaceDE/>
        <w:autoSpaceDN/>
        <w:jc w:val="both"/>
        <w:rPr>
          <w:sz w:val="24"/>
          <w:szCs w:val="24"/>
        </w:rPr>
      </w:pPr>
      <w:r w:rsidRPr="00D516A8">
        <w:rPr>
          <w:sz w:val="24"/>
          <w:szCs w:val="24"/>
        </w:rPr>
        <w:t xml:space="preserve">The study indicates the need for more research and assessment to better understand the relationship between vertigo symptoms and quality of life. Future studies could clarify the intricate connections between vertigo symptoms, quality of life, and other associated characteristics by using bigger, more diverse samples and longitudinal </w:t>
      </w:r>
      <w:proofErr w:type="spellStart"/>
      <w:r w:rsidRPr="00D516A8">
        <w:rPr>
          <w:sz w:val="24"/>
          <w:szCs w:val="24"/>
        </w:rPr>
        <w:t>designs.</w:t>
      </w:r>
      <w:r w:rsidRPr="00D516A8">
        <w:rPr>
          <w:color w:val="000000" w:themeColor="text1"/>
          <w:sz w:val="24"/>
          <w:szCs w:val="24"/>
        </w:rPr>
        <w:t>Specific</w:t>
      </w:r>
      <w:proofErr w:type="spellEnd"/>
      <w:r w:rsidRPr="00D516A8">
        <w:rPr>
          <w:color w:val="000000" w:themeColor="text1"/>
          <w:sz w:val="24"/>
          <w:szCs w:val="24"/>
        </w:rPr>
        <w:t xml:space="preserve"> issues which should be considered in the elderly are the relation to falls, difficulties in obtaining an accurate history, and some difficulty in performing the diagnostic and therapeutic maneuvers, which should be executed with slower movements and cautiously to avoid any vascular or orthopedic complications.</w:t>
      </w:r>
      <w:r w:rsidRPr="00D516A8">
        <w:rPr>
          <w:sz w:val="24"/>
          <w:szCs w:val="24"/>
        </w:rPr>
        <w:t xml:space="preserve"> Understanding these connections can help create tailored interventions that improve the general health and wellbeing of those who suffer from vestibular p</w:t>
      </w:r>
      <w:r>
        <w:rPr>
          <w:sz w:val="24"/>
          <w:szCs w:val="24"/>
        </w:rPr>
        <w:t>roblems.</w:t>
      </w:r>
    </w:p>
    <w:p w14:paraId="46B5217F" w14:textId="531D27F1" w:rsidR="002B7561" w:rsidRPr="00D807A1" w:rsidRDefault="002B7561" w:rsidP="00FB73BB">
      <w:pPr>
        <w:jc w:val="both"/>
        <w:rPr>
          <w:b/>
          <w:bCs/>
          <w:color w:val="7030A0"/>
          <w:spacing w:val="-2"/>
          <w:sz w:val="24"/>
          <w:szCs w:val="24"/>
        </w:rPr>
      </w:pPr>
      <w:r w:rsidRPr="00D807A1">
        <w:rPr>
          <w:b/>
          <w:bCs/>
          <w:color w:val="7030A0"/>
          <w:spacing w:val="-2"/>
          <w:sz w:val="24"/>
          <w:szCs w:val="24"/>
        </w:rPr>
        <w:t>CONCLUSION</w:t>
      </w:r>
    </w:p>
    <w:p w14:paraId="07CE228B" w14:textId="2859B6E2" w:rsidR="00D516A8" w:rsidRDefault="00D516A8" w:rsidP="00FB73BB">
      <w:pPr>
        <w:pStyle w:val="Heading1"/>
        <w:ind w:left="0"/>
        <w:jc w:val="both"/>
        <w:rPr>
          <w:b w:val="0"/>
          <w:bCs w:val="0"/>
        </w:rPr>
      </w:pPr>
      <w:r w:rsidRPr="00D516A8">
        <w:rPr>
          <w:b w:val="0"/>
          <w:bCs w:val="0"/>
        </w:rPr>
        <w:t xml:space="preserve">This study concluded that there is no prevalence of BPPV symptoms in asymptomatic young adult population and its association is less significant. It also provides valuable insights into the prevalence of dizziness and vertigo symptoms among the participants and their impacts on quality of </w:t>
      </w:r>
      <w:proofErr w:type="spellStart"/>
      <w:r w:rsidRPr="00D516A8">
        <w:rPr>
          <w:b w:val="0"/>
          <w:bCs w:val="0"/>
        </w:rPr>
        <w:t>life.To</w:t>
      </w:r>
      <w:proofErr w:type="spellEnd"/>
      <w:r w:rsidRPr="00D516A8">
        <w:rPr>
          <w:b w:val="0"/>
          <w:bCs w:val="0"/>
        </w:rPr>
        <w:t xml:space="preserve"> evaluate whether absence of hearing loss on pure-tone audiometry (PTA) is reliable as a diagnostic test for predicting benign paroxysmal positional vertigo (BPPV) in </w:t>
      </w:r>
      <w:r>
        <w:rPr>
          <w:b w:val="0"/>
          <w:bCs w:val="0"/>
        </w:rPr>
        <w:t>adult patients with vertigo.</w:t>
      </w:r>
    </w:p>
    <w:p w14:paraId="006E0365" w14:textId="0A0FE233" w:rsidR="005F13C2" w:rsidRDefault="005F13C2" w:rsidP="00277D44">
      <w:pPr>
        <w:pStyle w:val="Heading1"/>
        <w:spacing w:before="4"/>
        <w:ind w:left="0"/>
        <w:jc w:val="both"/>
        <w:rPr>
          <w:spacing w:val="-2"/>
        </w:rPr>
      </w:pPr>
      <w:r w:rsidRPr="00D807A1">
        <w:rPr>
          <w:spacing w:val="-2"/>
        </w:rPr>
        <w:t>REFERENCES</w:t>
      </w:r>
    </w:p>
    <w:p w14:paraId="05950FB6" w14:textId="77777777" w:rsidR="004D73F8" w:rsidRPr="004D73F8" w:rsidRDefault="004D73F8" w:rsidP="004D73F8">
      <w:pPr>
        <w:jc w:val="both"/>
        <w:rPr>
          <w:sz w:val="24"/>
          <w:szCs w:val="24"/>
        </w:rPr>
      </w:pPr>
      <w:r w:rsidRPr="004D73F8">
        <w:rPr>
          <w:b/>
          <w:sz w:val="24"/>
          <w:szCs w:val="24"/>
        </w:rPr>
        <w:fldChar w:fldCharType="begin"/>
      </w:r>
      <w:r w:rsidRPr="004D73F8">
        <w:rPr>
          <w:b/>
          <w:sz w:val="24"/>
          <w:szCs w:val="24"/>
        </w:rPr>
        <w:instrText xml:space="preserve"> ADDIN EN.REFLIST </w:instrText>
      </w:r>
      <w:r w:rsidRPr="004D73F8">
        <w:rPr>
          <w:b/>
          <w:sz w:val="24"/>
          <w:szCs w:val="24"/>
        </w:rPr>
        <w:fldChar w:fldCharType="separate"/>
      </w:r>
      <w:r w:rsidRPr="004D73F8">
        <w:rPr>
          <w:sz w:val="24"/>
          <w:szCs w:val="24"/>
        </w:rPr>
        <w:t>1.</w:t>
      </w:r>
      <w:r w:rsidRPr="004D73F8">
        <w:rPr>
          <w:sz w:val="24"/>
          <w:szCs w:val="24"/>
        </w:rPr>
        <w:tab/>
        <w:t>Vaduva C, Estéban-Sánchez J, Sanz-Fernández R, Martín-Sanz E. Prevalence and management of post-BPPV residual symptoms. European Archives of Oto-Rhino-Laryngology. 2018;275:1429-37.</w:t>
      </w:r>
    </w:p>
    <w:p w14:paraId="42887C41" w14:textId="77777777" w:rsidR="004D73F8" w:rsidRPr="004D73F8" w:rsidRDefault="004D73F8" w:rsidP="004D73F8">
      <w:pPr>
        <w:jc w:val="both"/>
        <w:rPr>
          <w:sz w:val="24"/>
          <w:szCs w:val="24"/>
        </w:rPr>
      </w:pPr>
      <w:r w:rsidRPr="004D73F8">
        <w:rPr>
          <w:sz w:val="24"/>
          <w:szCs w:val="24"/>
        </w:rPr>
        <w:t>2.</w:t>
      </w:r>
      <w:r w:rsidRPr="004D73F8">
        <w:rPr>
          <w:sz w:val="24"/>
          <w:szCs w:val="24"/>
        </w:rPr>
        <w:tab/>
        <w:t xml:space="preserve">Abdulovski S, Klokker M. Repositioning chairs in the diagnosis and treatment of benign paroxysmal positional vertigo-a systematic review. The Journal of </w:t>
      </w:r>
      <w:r w:rsidRPr="004D73F8">
        <w:rPr>
          <w:sz w:val="24"/>
          <w:szCs w:val="24"/>
        </w:rPr>
        <w:lastRenderedPageBreak/>
        <w:t>International Advanced Otology. 2021;17(4):353.</w:t>
      </w:r>
    </w:p>
    <w:p w14:paraId="091399DD" w14:textId="77777777" w:rsidR="004D73F8" w:rsidRPr="004D73F8" w:rsidRDefault="004D73F8" w:rsidP="004D73F8">
      <w:pPr>
        <w:jc w:val="both"/>
        <w:rPr>
          <w:sz w:val="24"/>
          <w:szCs w:val="24"/>
        </w:rPr>
      </w:pPr>
      <w:r w:rsidRPr="004D73F8">
        <w:rPr>
          <w:sz w:val="24"/>
          <w:szCs w:val="24"/>
        </w:rPr>
        <w:t>3.</w:t>
      </w:r>
      <w:r w:rsidRPr="004D73F8">
        <w:rPr>
          <w:sz w:val="24"/>
          <w:szCs w:val="24"/>
        </w:rPr>
        <w:tab/>
        <w:t>Chua K, Gans R, Spinks S. Demographic and clinical characteristics of BPPV patients: a retrospective large cohort study of 1599 patients. Journal of Otolaryngology-ENT Research. 2020;12(1):20-30.</w:t>
      </w:r>
    </w:p>
    <w:p w14:paraId="50027B5E" w14:textId="77777777" w:rsidR="004D73F8" w:rsidRPr="004D73F8" w:rsidRDefault="004D73F8" w:rsidP="004D73F8">
      <w:pPr>
        <w:jc w:val="both"/>
        <w:rPr>
          <w:sz w:val="24"/>
          <w:szCs w:val="24"/>
        </w:rPr>
      </w:pPr>
      <w:r w:rsidRPr="004D73F8">
        <w:rPr>
          <w:sz w:val="24"/>
          <w:szCs w:val="24"/>
        </w:rPr>
        <w:t>4.</w:t>
      </w:r>
      <w:r w:rsidRPr="004D73F8">
        <w:rPr>
          <w:sz w:val="24"/>
          <w:szCs w:val="24"/>
        </w:rPr>
        <w:tab/>
        <w:t>Von Brevern M, Radtke A, Lezius F, Feldmann M, Ziese T, Lempert T, et al. Epidemiology of benign paroxysmal positional vertigo: a population based study. Journal of Neurology, Neurosurgery &amp; Psychiatry. 2007;78(7):710-5.</w:t>
      </w:r>
    </w:p>
    <w:p w14:paraId="0A4394F3" w14:textId="77777777" w:rsidR="004D73F8" w:rsidRPr="004D73F8" w:rsidRDefault="004D73F8" w:rsidP="004D73F8">
      <w:pPr>
        <w:jc w:val="both"/>
        <w:rPr>
          <w:sz w:val="24"/>
          <w:szCs w:val="24"/>
        </w:rPr>
      </w:pPr>
      <w:r w:rsidRPr="004D73F8">
        <w:rPr>
          <w:sz w:val="24"/>
          <w:szCs w:val="24"/>
        </w:rPr>
        <w:t>5.</w:t>
      </w:r>
      <w:r w:rsidRPr="004D73F8">
        <w:rPr>
          <w:sz w:val="24"/>
          <w:szCs w:val="24"/>
        </w:rPr>
        <w:tab/>
        <w:t>Çetin YS, Çağaç A, Düzenli U, Bozan N, Elasan S. Residual dizziness in elderly patients after benign paroxysmal positional vertigo. Orl. 2022;84(2):122-9.</w:t>
      </w:r>
    </w:p>
    <w:p w14:paraId="5DB5F2E9" w14:textId="77777777" w:rsidR="004D73F8" w:rsidRPr="004D73F8" w:rsidRDefault="004D73F8" w:rsidP="004D73F8">
      <w:pPr>
        <w:jc w:val="both"/>
        <w:rPr>
          <w:sz w:val="24"/>
          <w:szCs w:val="24"/>
        </w:rPr>
      </w:pPr>
      <w:r w:rsidRPr="004D73F8">
        <w:rPr>
          <w:sz w:val="24"/>
          <w:szCs w:val="24"/>
        </w:rPr>
        <w:t>6.</w:t>
      </w:r>
      <w:r w:rsidRPr="004D73F8">
        <w:rPr>
          <w:sz w:val="24"/>
          <w:szCs w:val="24"/>
        </w:rPr>
        <w:tab/>
        <w:t>Kerrigan MA, Costigan MF, Blatt KJ, Mathiason MA, Domroese ME. Prevalence of benign paroxysmal positional vertigo in the young adult population. PM&amp;R. 2013;5(9):778-85.</w:t>
      </w:r>
    </w:p>
    <w:p w14:paraId="2834BD2C" w14:textId="77777777" w:rsidR="004D73F8" w:rsidRPr="004D73F8" w:rsidRDefault="004D73F8" w:rsidP="004D73F8">
      <w:pPr>
        <w:jc w:val="both"/>
        <w:rPr>
          <w:sz w:val="24"/>
          <w:szCs w:val="24"/>
        </w:rPr>
      </w:pPr>
      <w:r w:rsidRPr="004D73F8">
        <w:rPr>
          <w:sz w:val="24"/>
          <w:szCs w:val="24"/>
        </w:rPr>
        <w:t>7.</w:t>
      </w:r>
      <w:r w:rsidRPr="004D73F8">
        <w:rPr>
          <w:sz w:val="24"/>
          <w:szCs w:val="24"/>
        </w:rPr>
        <w:tab/>
        <w:t>Chen J, Zhang S, Cui K, Liu C. Risk factors for benign paroxysmal positional vertigo recurrence: a systematic review and meta-analysis. Journal of neurology. 2021;268:4117-27.</w:t>
      </w:r>
    </w:p>
    <w:p w14:paraId="0A4A0360" w14:textId="77777777" w:rsidR="004D73F8" w:rsidRPr="004D73F8" w:rsidRDefault="004D73F8" w:rsidP="004D73F8">
      <w:pPr>
        <w:jc w:val="both"/>
        <w:rPr>
          <w:sz w:val="24"/>
          <w:szCs w:val="24"/>
        </w:rPr>
      </w:pPr>
      <w:r w:rsidRPr="004D73F8">
        <w:rPr>
          <w:sz w:val="24"/>
          <w:szCs w:val="24"/>
        </w:rPr>
        <w:t>8.</w:t>
      </w:r>
      <w:r w:rsidRPr="004D73F8">
        <w:rPr>
          <w:sz w:val="24"/>
          <w:szCs w:val="24"/>
        </w:rPr>
        <w:tab/>
        <w:t>Franco I, Uricel Y, Valencia S, Castillo-Bustamante M, Madrigal J. Quality of life in patients with vestibular disorders: a narrative review. International Journal of Otorhinolaryngology and Head and Neck Surgery. 2023;9(5):426.</w:t>
      </w:r>
    </w:p>
    <w:p w14:paraId="54702ACD" w14:textId="77777777" w:rsidR="004D73F8" w:rsidRPr="004D73F8" w:rsidRDefault="004D73F8" w:rsidP="004D73F8">
      <w:pPr>
        <w:jc w:val="both"/>
        <w:rPr>
          <w:sz w:val="24"/>
          <w:szCs w:val="24"/>
        </w:rPr>
      </w:pPr>
      <w:r w:rsidRPr="004D73F8">
        <w:rPr>
          <w:sz w:val="24"/>
          <w:szCs w:val="24"/>
        </w:rPr>
        <w:t>9.</w:t>
      </w:r>
      <w:r w:rsidRPr="004D73F8">
        <w:rPr>
          <w:sz w:val="24"/>
          <w:szCs w:val="24"/>
        </w:rPr>
        <w:tab/>
        <w:t>Zeisel MB, Guerrieri F, Levrero M. Host epigenetic alterations and hepatitis B virus-associated hepatocellular carcinoma. Journal of Clinical Medicine. 2021;10(8):1715.</w:t>
      </w:r>
    </w:p>
    <w:p w14:paraId="6E26EBC3" w14:textId="77777777" w:rsidR="004D73F8" w:rsidRPr="004D73F8" w:rsidRDefault="004D73F8" w:rsidP="004D73F8">
      <w:pPr>
        <w:jc w:val="both"/>
        <w:rPr>
          <w:sz w:val="24"/>
          <w:szCs w:val="24"/>
        </w:rPr>
      </w:pPr>
      <w:r w:rsidRPr="004D73F8">
        <w:rPr>
          <w:sz w:val="24"/>
          <w:szCs w:val="24"/>
        </w:rPr>
        <w:t>10.</w:t>
      </w:r>
      <w:r w:rsidRPr="004D73F8">
        <w:rPr>
          <w:sz w:val="24"/>
          <w:szCs w:val="24"/>
        </w:rPr>
        <w:tab/>
        <w:t>Alwood JS, Mulavara AP, Iyer J, Mhatre SD, Rosi S, Shelhamer M, et al. Circuits and biomarkers of the central nervous system relating to astronaut performance: summary report for a NASA-sponsored technical interchange meeting. Life. 2023;13(9):1852.</w:t>
      </w:r>
    </w:p>
    <w:p w14:paraId="662F8A41" w14:textId="77777777" w:rsidR="004D73F8" w:rsidRPr="004D73F8" w:rsidRDefault="004D73F8" w:rsidP="004D73F8">
      <w:pPr>
        <w:jc w:val="both"/>
        <w:rPr>
          <w:sz w:val="24"/>
          <w:szCs w:val="24"/>
        </w:rPr>
      </w:pPr>
      <w:r w:rsidRPr="004D73F8">
        <w:rPr>
          <w:sz w:val="24"/>
          <w:szCs w:val="24"/>
        </w:rPr>
        <w:t>11.</w:t>
      </w:r>
      <w:r w:rsidRPr="004D73F8">
        <w:rPr>
          <w:sz w:val="24"/>
          <w:szCs w:val="24"/>
        </w:rPr>
        <w:tab/>
        <w:t xml:space="preserve">Ciorba A, Cogliandolo C, Bianchini C, Aimoni C, Pelucchi S, Skarżyński PH, et al. Clinical features of benign paroxysmal positional vertigo of the posterior </w:t>
      </w:r>
      <w:r w:rsidRPr="004D73F8">
        <w:rPr>
          <w:sz w:val="24"/>
          <w:szCs w:val="24"/>
        </w:rPr>
        <w:t>semicircular canal. SAGE Open Medicine. 2019;7:2050312118822922.</w:t>
      </w:r>
    </w:p>
    <w:p w14:paraId="48D7C78A" w14:textId="77777777" w:rsidR="004D73F8" w:rsidRPr="004D73F8" w:rsidRDefault="004D73F8" w:rsidP="004D73F8">
      <w:pPr>
        <w:jc w:val="both"/>
        <w:rPr>
          <w:sz w:val="24"/>
          <w:szCs w:val="24"/>
        </w:rPr>
      </w:pPr>
      <w:r w:rsidRPr="004D73F8">
        <w:rPr>
          <w:sz w:val="24"/>
          <w:szCs w:val="24"/>
        </w:rPr>
        <w:t>12.</w:t>
      </w:r>
      <w:r w:rsidRPr="004D73F8">
        <w:rPr>
          <w:sz w:val="24"/>
          <w:szCs w:val="24"/>
        </w:rPr>
        <w:tab/>
        <w:t>Lindell E, Karlsson T, Kollén L, Johansson M, Finizia C. Benign paroxysmal positional vertigo and vestibular impairment among older adults with dizziness. Laryngoscope investigative otolaryngology. 2021;6(3):488-95.</w:t>
      </w:r>
    </w:p>
    <w:p w14:paraId="190ED080" w14:textId="77777777" w:rsidR="004D73F8" w:rsidRPr="004D73F8" w:rsidRDefault="004D73F8" w:rsidP="004D73F8">
      <w:pPr>
        <w:jc w:val="both"/>
        <w:rPr>
          <w:sz w:val="24"/>
          <w:szCs w:val="24"/>
        </w:rPr>
      </w:pPr>
      <w:r w:rsidRPr="004D73F8">
        <w:rPr>
          <w:sz w:val="24"/>
          <w:szCs w:val="24"/>
        </w:rPr>
        <w:t>13.</w:t>
      </w:r>
      <w:r w:rsidRPr="004D73F8">
        <w:rPr>
          <w:sz w:val="24"/>
          <w:szCs w:val="24"/>
        </w:rPr>
        <w:tab/>
        <w:t>Fu W, He F, Bai Y, An X, Shi Y, Han J, et al. Risk factors of residual dizziness after successful treatment for benign paroxysmal positional vertigo in middle-aged and older adults. Frontiers in Neurology. 2022;13:850088.</w:t>
      </w:r>
    </w:p>
    <w:p w14:paraId="68619065" w14:textId="77777777" w:rsidR="004D73F8" w:rsidRPr="004D73F8" w:rsidRDefault="004D73F8" w:rsidP="004D73F8">
      <w:pPr>
        <w:jc w:val="both"/>
        <w:rPr>
          <w:sz w:val="24"/>
          <w:szCs w:val="24"/>
        </w:rPr>
      </w:pPr>
      <w:r w:rsidRPr="004D73F8">
        <w:rPr>
          <w:sz w:val="24"/>
          <w:szCs w:val="24"/>
        </w:rPr>
        <w:t>14.</w:t>
      </w:r>
      <w:r w:rsidRPr="004D73F8">
        <w:rPr>
          <w:sz w:val="24"/>
          <w:szCs w:val="24"/>
        </w:rPr>
        <w:tab/>
        <w:t>Kim SK, Hong SM, Park I-S, Choi HG. Association between migraine and benign paroxysmal positional vertigo among adults in South Korea. JAMA Otolaryngology–Head &amp; Neck Surgery. 2019;145(4):307-12.</w:t>
      </w:r>
    </w:p>
    <w:p w14:paraId="01ED60FD" w14:textId="77777777" w:rsidR="004D73F8" w:rsidRPr="004D73F8" w:rsidRDefault="004D73F8" w:rsidP="004D73F8">
      <w:pPr>
        <w:jc w:val="both"/>
        <w:rPr>
          <w:sz w:val="24"/>
          <w:szCs w:val="24"/>
        </w:rPr>
      </w:pPr>
      <w:r w:rsidRPr="004D73F8">
        <w:rPr>
          <w:sz w:val="24"/>
          <w:szCs w:val="24"/>
        </w:rPr>
        <w:t>15.</w:t>
      </w:r>
      <w:r w:rsidRPr="004D73F8">
        <w:rPr>
          <w:sz w:val="24"/>
          <w:szCs w:val="24"/>
        </w:rPr>
        <w:tab/>
        <w:t>Sreenivas V, Sima NH, Philip S. The role of comorbidities in benign paroxysmal positional vertigo. Ear, Nose &amp; Throat Journal. 2021;100(5):NP225-NP30.</w:t>
      </w:r>
    </w:p>
    <w:p w14:paraId="0AAE8BC7" w14:textId="77777777" w:rsidR="004D73F8" w:rsidRPr="004D73F8" w:rsidRDefault="004D73F8" w:rsidP="004D73F8">
      <w:pPr>
        <w:jc w:val="both"/>
        <w:rPr>
          <w:sz w:val="24"/>
          <w:szCs w:val="24"/>
        </w:rPr>
      </w:pPr>
      <w:r w:rsidRPr="004D73F8">
        <w:rPr>
          <w:sz w:val="24"/>
          <w:szCs w:val="24"/>
        </w:rPr>
        <w:t>16.</w:t>
      </w:r>
      <w:r w:rsidRPr="004D73F8">
        <w:rPr>
          <w:sz w:val="24"/>
          <w:szCs w:val="24"/>
        </w:rPr>
        <w:tab/>
        <w:t>Laurent G, Vereeck L, Verbecque E, Herssens N, Casters L, Spildooren J. Effect of age on treatment outcomes in benign paroxysmal positional vertigo: A systematic review. Journal of the American Geriatrics Society. 2022;70(1):281-93.</w:t>
      </w:r>
    </w:p>
    <w:p w14:paraId="6534F7CE" w14:textId="77777777" w:rsidR="004D73F8" w:rsidRPr="004D73F8" w:rsidRDefault="004D73F8" w:rsidP="004D73F8">
      <w:pPr>
        <w:jc w:val="both"/>
        <w:rPr>
          <w:sz w:val="24"/>
          <w:szCs w:val="24"/>
        </w:rPr>
      </w:pPr>
      <w:r w:rsidRPr="004D73F8">
        <w:rPr>
          <w:sz w:val="24"/>
          <w:szCs w:val="24"/>
        </w:rPr>
        <w:t>17.</w:t>
      </w:r>
      <w:r w:rsidRPr="004D73F8">
        <w:rPr>
          <w:sz w:val="24"/>
          <w:szCs w:val="24"/>
        </w:rPr>
        <w:tab/>
        <w:t>Li G-F, Wang Y-T, Lu X-G, Liu M, Liu C-B, Wang C-H. Benign paroxysmal positional vertigo with congenital nystagmus: A case report. World Journal of Clinical Cases. 2022;10(31):11625.</w:t>
      </w:r>
    </w:p>
    <w:p w14:paraId="3C13989B" w14:textId="77777777" w:rsidR="004D73F8" w:rsidRPr="004D73F8" w:rsidRDefault="004D73F8" w:rsidP="004D73F8">
      <w:pPr>
        <w:jc w:val="both"/>
        <w:rPr>
          <w:sz w:val="24"/>
          <w:szCs w:val="24"/>
        </w:rPr>
      </w:pPr>
      <w:r w:rsidRPr="004D73F8">
        <w:rPr>
          <w:sz w:val="24"/>
          <w:szCs w:val="24"/>
        </w:rPr>
        <w:t>18.</w:t>
      </w:r>
      <w:r w:rsidRPr="004D73F8">
        <w:rPr>
          <w:sz w:val="24"/>
          <w:szCs w:val="24"/>
        </w:rPr>
        <w:tab/>
        <w:t>Sim E, Tan D, Hill K. Poor treatment outcomes following repositioning maneuvers in younger and older adults with benign paroxysmal positional vertigo: a systematic review and meta-analysis. Journal of the American Medical Directors Association. 2019;20(2):224. e1-. e23.</w:t>
      </w:r>
    </w:p>
    <w:p w14:paraId="56D249C0" w14:textId="77777777" w:rsidR="004D73F8" w:rsidRPr="004D73F8" w:rsidRDefault="004D73F8" w:rsidP="004D73F8">
      <w:pPr>
        <w:jc w:val="both"/>
        <w:rPr>
          <w:sz w:val="24"/>
          <w:szCs w:val="24"/>
        </w:rPr>
      </w:pPr>
      <w:r w:rsidRPr="004D73F8">
        <w:rPr>
          <w:sz w:val="24"/>
          <w:szCs w:val="24"/>
        </w:rPr>
        <w:t>19.</w:t>
      </w:r>
      <w:r w:rsidRPr="004D73F8">
        <w:rPr>
          <w:sz w:val="24"/>
          <w:szCs w:val="24"/>
        </w:rPr>
        <w:tab/>
        <w:t>Lindell E, Kollén L, Johansson M, Karlsson T, Rydén L, Falk Erhag H, et al. Benign paroxysmal positional vertigo, dizziness, and health-related quality of life among older adults in a population-based setting. European Archives of Oto-Rhino-Laryngology. 2021;278:1637-44.</w:t>
      </w:r>
    </w:p>
    <w:p w14:paraId="5C64239D" w14:textId="77777777" w:rsidR="004D73F8" w:rsidRPr="004D73F8" w:rsidRDefault="004D73F8" w:rsidP="004D73F8">
      <w:pPr>
        <w:jc w:val="both"/>
        <w:rPr>
          <w:sz w:val="24"/>
          <w:szCs w:val="24"/>
        </w:rPr>
      </w:pPr>
      <w:r w:rsidRPr="004D73F8">
        <w:rPr>
          <w:sz w:val="24"/>
          <w:szCs w:val="24"/>
        </w:rPr>
        <w:t>20.</w:t>
      </w:r>
      <w:r w:rsidRPr="004D73F8">
        <w:rPr>
          <w:sz w:val="24"/>
          <w:szCs w:val="24"/>
        </w:rPr>
        <w:tab/>
        <w:t xml:space="preserve">Brodsky JR, Lipson S, Wilber J, Zhou </w:t>
      </w:r>
      <w:r w:rsidRPr="004D73F8">
        <w:rPr>
          <w:sz w:val="24"/>
          <w:szCs w:val="24"/>
        </w:rPr>
        <w:lastRenderedPageBreak/>
        <w:t>G. Benign paroxysmal positional vertigo (BPPV) in children and adolescents: clinical features and response to therapy in 110 pediatric patients. Otology &amp; Neurotology. 2018;39(3):344-50.</w:t>
      </w:r>
    </w:p>
    <w:p w14:paraId="08B72836" w14:textId="77777777" w:rsidR="004D73F8" w:rsidRPr="004D73F8" w:rsidRDefault="004D73F8" w:rsidP="004D73F8">
      <w:pPr>
        <w:jc w:val="both"/>
        <w:rPr>
          <w:sz w:val="24"/>
          <w:szCs w:val="24"/>
        </w:rPr>
      </w:pPr>
      <w:r w:rsidRPr="004D73F8">
        <w:rPr>
          <w:sz w:val="24"/>
          <w:szCs w:val="24"/>
        </w:rPr>
        <w:t>21.</w:t>
      </w:r>
      <w:r w:rsidRPr="004D73F8">
        <w:rPr>
          <w:sz w:val="24"/>
          <w:szCs w:val="24"/>
        </w:rPr>
        <w:tab/>
        <w:t>Hornibrook J. Benign paroxysmal positional vertigo (BPPV): history, pathophysiology, office treatment and future directions. International journal of otolaryngology. 2011;2011(1):835671.</w:t>
      </w:r>
    </w:p>
    <w:p w14:paraId="758E61DA" w14:textId="77777777" w:rsidR="004D73F8" w:rsidRPr="004D73F8" w:rsidRDefault="004D73F8" w:rsidP="004D73F8">
      <w:pPr>
        <w:jc w:val="both"/>
        <w:rPr>
          <w:sz w:val="24"/>
          <w:szCs w:val="24"/>
        </w:rPr>
      </w:pPr>
      <w:r w:rsidRPr="004D73F8">
        <w:rPr>
          <w:sz w:val="24"/>
          <w:szCs w:val="24"/>
        </w:rPr>
        <w:t>22.</w:t>
      </w:r>
      <w:r w:rsidRPr="004D73F8">
        <w:rPr>
          <w:sz w:val="24"/>
          <w:szCs w:val="24"/>
        </w:rPr>
        <w:tab/>
        <w:t>Gunes-Bayir A, Tandogan Z, Gedik-Toker Ö, Yabaci-Tak A, Dadak A. A comparison study of nutritional assessment, diet and physical activity habits, lifestyle and socio-demographic characteristics in individuals with and without dizziness/vertigo. Nutrients. 2023;15(18):4055.</w:t>
      </w:r>
    </w:p>
    <w:p w14:paraId="54BC6D4D" w14:textId="61389735" w:rsidR="0077026F" w:rsidRPr="00453D43" w:rsidRDefault="004D73F8" w:rsidP="00453D43">
      <w:pPr>
        <w:jc w:val="both"/>
        <w:rPr>
          <w:b/>
          <w:sz w:val="24"/>
          <w:szCs w:val="24"/>
        </w:rPr>
      </w:pPr>
      <w:r w:rsidRPr="004D73F8">
        <w:rPr>
          <w:sz w:val="24"/>
          <w:szCs w:val="24"/>
        </w:rPr>
        <w:fldChar w:fldCharType="end"/>
      </w:r>
    </w:p>
    <w:sectPr w:rsidR="0077026F" w:rsidRPr="00453D43" w:rsidSect="007010EF">
      <w:type w:val="continuous"/>
      <w:pgSz w:w="11910" w:h="16840"/>
      <w:pgMar w:top="1440" w:right="1440" w:bottom="1440" w:left="1440" w:header="584" w:footer="450" w:gutter="0"/>
      <w:cols w:num="2" w:space="18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F4958" w14:textId="77777777" w:rsidR="00230156" w:rsidRDefault="00230156">
      <w:r>
        <w:separator/>
      </w:r>
    </w:p>
  </w:endnote>
  <w:endnote w:type="continuationSeparator" w:id="0">
    <w:p w14:paraId="1580D896" w14:textId="77777777" w:rsidR="00230156" w:rsidRDefault="0023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6820594"/>
      <w:docPartObj>
        <w:docPartGallery w:val="Page Numbers (Bottom of Page)"/>
        <w:docPartUnique/>
      </w:docPartObj>
    </w:sdtPr>
    <w:sdtContent>
      <w:p w14:paraId="3CB08EAC" w14:textId="25E3B97D" w:rsidR="00112B43" w:rsidRDefault="00112B43" w:rsidP="0049557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23C68" w14:textId="77777777" w:rsidR="00112B43" w:rsidRDefault="00112B43" w:rsidP="00112B4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1975398"/>
      <w:docPartObj>
        <w:docPartGallery w:val="Page Numbers (Bottom of Page)"/>
        <w:docPartUnique/>
      </w:docPartObj>
    </w:sdtPr>
    <w:sdtContent>
      <w:p w14:paraId="71C3468A" w14:textId="4DE18CC0" w:rsidR="00112B43" w:rsidRDefault="00112B43" w:rsidP="0049557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sdtContent>
  </w:sdt>
  <w:p w14:paraId="4E5B52C7" w14:textId="3D7E7224" w:rsidR="00194832" w:rsidRDefault="00194832" w:rsidP="00112B43">
    <w:pPr>
      <w:pStyle w:val="BodyText"/>
      <w:spacing w:line="14" w:lineRule="auto"/>
      <w:ind w:left="0" w:firstLine="36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8B1FD" w14:textId="77777777" w:rsidR="00230156" w:rsidRDefault="00230156">
      <w:r>
        <w:separator/>
      </w:r>
    </w:p>
  </w:footnote>
  <w:footnote w:type="continuationSeparator" w:id="0">
    <w:p w14:paraId="59F79532" w14:textId="77777777" w:rsidR="00230156" w:rsidRDefault="0023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52C6" w14:textId="77777777" w:rsidR="00194832" w:rsidRDefault="002311B1">
    <w:pPr>
      <w:pStyle w:val="BodyText"/>
      <w:spacing w:line="14" w:lineRule="auto"/>
      <w:ind w:left="0"/>
      <w:jc w:val="left"/>
      <w:rPr>
        <w:sz w:val="20"/>
      </w:rPr>
    </w:pPr>
    <w:r>
      <w:rPr>
        <w:noProof/>
        <w:sz w:val="20"/>
      </w:rPr>
      <mc:AlternateContent>
        <mc:Choice Requires="wps">
          <w:drawing>
            <wp:anchor distT="0" distB="0" distL="0" distR="0" simplePos="0" relativeHeight="487207424" behindDoc="1" locked="0" layoutInCell="1" allowOverlap="1" wp14:anchorId="4E5B52C8" wp14:editId="4E5B52C9">
              <wp:simplePos x="0" y="0"/>
              <wp:positionH relativeFrom="page">
                <wp:posOffset>901700</wp:posOffset>
              </wp:positionH>
              <wp:positionV relativeFrom="page">
                <wp:posOffset>357855</wp:posOffset>
              </wp:positionV>
              <wp:extent cx="183896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960" cy="167640"/>
                      </a:xfrm>
                      <a:prstGeom prst="rect">
                        <a:avLst/>
                      </a:prstGeom>
                    </wps:spPr>
                    <wps:txbx>
                      <w:txbxContent>
                        <w:p w14:paraId="4E5B536D" w14:textId="77777777" w:rsidR="00194832" w:rsidRDefault="002311B1">
                          <w:pPr>
                            <w:spacing w:before="13"/>
                            <w:ind w:left="20"/>
                            <w:rPr>
                              <w:sz w:val="20"/>
                            </w:rPr>
                          </w:pPr>
                          <w:r>
                            <w:rPr>
                              <w:color w:val="7030A0"/>
                              <w:sz w:val="20"/>
                            </w:rPr>
                            <w:t>Rehman</w:t>
                          </w:r>
                          <w:r>
                            <w:rPr>
                              <w:color w:val="7030A0"/>
                              <w:spacing w:val="-6"/>
                              <w:sz w:val="20"/>
                            </w:rPr>
                            <w:t xml:space="preserve"> </w:t>
                          </w:r>
                          <w:r>
                            <w:rPr>
                              <w:color w:val="7030A0"/>
                              <w:sz w:val="20"/>
                            </w:rPr>
                            <w:t>Journal</w:t>
                          </w:r>
                          <w:r>
                            <w:rPr>
                              <w:color w:val="7030A0"/>
                              <w:spacing w:val="-6"/>
                              <w:sz w:val="20"/>
                            </w:rPr>
                            <w:t xml:space="preserve"> </w:t>
                          </w:r>
                          <w:r>
                            <w:rPr>
                              <w:color w:val="7030A0"/>
                              <w:sz w:val="20"/>
                            </w:rPr>
                            <w:t>of</w:t>
                          </w:r>
                          <w:r>
                            <w:rPr>
                              <w:color w:val="7030A0"/>
                              <w:spacing w:val="-6"/>
                              <w:sz w:val="20"/>
                            </w:rPr>
                            <w:t xml:space="preserve"> </w:t>
                          </w:r>
                          <w:r>
                            <w:rPr>
                              <w:color w:val="7030A0"/>
                              <w:sz w:val="20"/>
                            </w:rPr>
                            <w:t>Health</w:t>
                          </w:r>
                          <w:r>
                            <w:rPr>
                              <w:color w:val="7030A0"/>
                              <w:spacing w:val="-6"/>
                              <w:sz w:val="20"/>
                            </w:rPr>
                            <w:t xml:space="preserve"> </w:t>
                          </w:r>
                          <w:r>
                            <w:rPr>
                              <w:color w:val="7030A0"/>
                              <w:spacing w:val="-2"/>
                              <w:sz w:val="20"/>
                            </w:rPr>
                            <w:t>Sciences</w:t>
                          </w:r>
                        </w:p>
                      </w:txbxContent>
                    </wps:txbx>
                    <wps:bodyPr wrap="square" lIns="0" tIns="0" rIns="0" bIns="0" rtlCol="0">
                      <a:noAutofit/>
                    </wps:bodyPr>
                  </wps:wsp>
                </a:graphicData>
              </a:graphic>
            </wp:anchor>
          </w:drawing>
        </mc:Choice>
        <mc:Fallback>
          <w:pict>
            <v:shapetype w14:anchorId="4E5B52C8" id="_x0000_t202" coordsize="21600,21600" o:spt="202" path="m,l,21600r21600,l21600,xe">
              <v:stroke joinstyle="miter"/>
              <v:path gradientshapeok="t" o:connecttype="rect"/>
            </v:shapetype>
            <v:shape id="Textbox 1" o:spid="_x0000_s1030" type="#_x0000_t202" style="position:absolute;margin-left:71pt;margin-top:28.2pt;width:144.8pt;height:13.2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" filled="f" stroked="f">
              <v:textbox inset="0,0,0,0">
                <w:txbxContent>
                  <w:p w14:paraId="4E5B536D" w14:textId="77777777" w:rsidR="00194832" w:rsidRDefault="002311B1">
                    <w:pPr>
                      <w:spacing w:before="13"/>
                      <w:ind w:left="20"/>
                      <w:rPr>
                        <w:sz w:val="20"/>
                      </w:rPr>
                    </w:pPr>
                    <w:r>
                      <w:rPr>
                        <w:color w:val="7030A0"/>
                        <w:sz w:val="20"/>
                      </w:rPr>
                      <w:t>Rehman</w:t>
                    </w:r>
                    <w:r>
                      <w:rPr>
                        <w:color w:val="7030A0"/>
                        <w:spacing w:val="-6"/>
                        <w:sz w:val="20"/>
                      </w:rPr>
                      <w:t xml:space="preserve"> </w:t>
                    </w:r>
                    <w:r>
                      <w:rPr>
                        <w:color w:val="7030A0"/>
                        <w:sz w:val="20"/>
                      </w:rPr>
                      <w:t>Journal</w:t>
                    </w:r>
                    <w:r>
                      <w:rPr>
                        <w:color w:val="7030A0"/>
                        <w:spacing w:val="-6"/>
                        <w:sz w:val="20"/>
                      </w:rPr>
                      <w:t xml:space="preserve"> </w:t>
                    </w:r>
                    <w:r>
                      <w:rPr>
                        <w:color w:val="7030A0"/>
                        <w:sz w:val="20"/>
                      </w:rPr>
                      <w:t>of</w:t>
                    </w:r>
                    <w:r>
                      <w:rPr>
                        <w:color w:val="7030A0"/>
                        <w:spacing w:val="-6"/>
                        <w:sz w:val="20"/>
                      </w:rPr>
                      <w:t xml:space="preserve"> </w:t>
                    </w:r>
                    <w:r>
                      <w:rPr>
                        <w:color w:val="7030A0"/>
                        <w:sz w:val="20"/>
                      </w:rPr>
                      <w:t>Health</w:t>
                    </w:r>
                    <w:r>
                      <w:rPr>
                        <w:color w:val="7030A0"/>
                        <w:spacing w:val="-6"/>
                        <w:sz w:val="20"/>
                      </w:rPr>
                      <w:t xml:space="preserve"> </w:t>
                    </w:r>
                    <w:r>
                      <w:rPr>
                        <w:color w:val="7030A0"/>
                        <w:spacing w:val="-2"/>
                        <w:sz w:val="20"/>
                      </w:rPr>
                      <w:t>Sciences</w:t>
                    </w:r>
                  </w:p>
                </w:txbxContent>
              </v:textbox>
              <w10:wrap anchorx="page" anchory="page"/>
            </v:shape>
          </w:pict>
        </mc:Fallback>
      </mc:AlternateContent>
    </w:r>
    <w:r>
      <w:rPr>
        <w:noProof/>
        <w:sz w:val="20"/>
      </w:rPr>
      <mc:AlternateContent>
        <mc:Choice Requires="wps">
          <w:drawing>
            <wp:anchor distT="0" distB="0" distL="0" distR="0" simplePos="0" relativeHeight="487207936" behindDoc="1" locked="0" layoutInCell="1" allowOverlap="1" wp14:anchorId="4E5B52CA" wp14:editId="4E5B52CB">
              <wp:simplePos x="0" y="0"/>
              <wp:positionH relativeFrom="page">
                <wp:posOffset>5737583</wp:posOffset>
              </wp:positionH>
              <wp:positionV relativeFrom="page">
                <wp:posOffset>357855</wp:posOffset>
              </wp:positionV>
              <wp:extent cx="113411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167640"/>
                      </a:xfrm>
                      <a:prstGeom prst="rect">
                        <a:avLst/>
                      </a:prstGeom>
                    </wps:spPr>
                    <wps:txbx>
                      <w:txbxContent>
                        <w:p w14:paraId="4E5B536E" w14:textId="72403040" w:rsidR="00194832" w:rsidRDefault="002311B1">
                          <w:pPr>
                            <w:spacing w:before="13"/>
                            <w:ind w:left="20"/>
                            <w:rPr>
                              <w:sz w:val="20"/>
                            </w:rPr>
                          </w:pPr>
                          <w:r>
                            <w:rPr>
                              <w:color w:val="7030A0"/>
                              <w:sz w:val="20"/>
                            </w:rPr>
                            <w:t>Vol.</w:t>
                          </w:r>
                          <w:r>
                            <w:rPr>
                              <w:color w:val="7030A0"/>
                              <w:spacing w:val="-4"/>
                              <w:sz w:val="20"/>
                            </w:rPr>
                            <w:t xml:space="preserve"> </w:t>
                          </w:r>
                          <w:r>
                            <w:rPr>
                              <w:color w:val="7030A0"/>
                              <w:sz w:val="20"/>
                            </w:rPr>
                            <w:t>0</w:t>
                          </w:r>
                          <w:r w:rsidR="007347C6">
                            <w:rPr>
                              <w:color w:val="7030A0"/>
                              <w:sz w:val="20"/>
                            </w:rPr>
                            <w:t>6</w:t>
                          </w:r>
                          <w:r>
                            <w:rPr>
                              <w:color w:val="7030A0"/>
                              <w:sz w:val="20"/>
                            </w:rPr>
                            <w:t>,</w:t>
                          </w:r>
                          <w:r>
                            <w:rPr>
                              <w:color w:val="7030A0"/>
                              <w:spacing w:val="-4"/>
                              <w:sz w:val="20"/>
                            </w:rPr>
                            <w:t xml:space="preserve"> </w:t>
                          </w:r>
                          <w:r>
                            <w:rPr>
                              <w:color w:val="7030A0"/>
                              <w:sz w:val="20"/>
                            </w:rPr>
                            <w:t>No.</w:t>
                          </w:r>
                          <w:r>
                            <w:rPr>
                              <w:color w:val="7030A0"/>
                              <w:spacing w:val="-4"/>
                              <w:sz w:val="20"/>
                            </w:rPr>
                            <w:t xml:space="preserve"> </w:t>
                          </w:r>
                          <w:r>
                            <w:rPr>
                              <w:color w:val="7030A0"/>
                              <w:sz w:val="20"/>
                            </w:rPr>
                            <w:t>02,</w:t>
                          </w:r>
                          <w:r>
                            <w:rPr>
                              <w:color w:val="7030A0"/>
                              <w:spacing w:val="-3"/>
                              <w:sz w:val="20"/>
                            </w:rPr>
                            <w:t xml:space="preserve"> </w:t>
                          </w:r>
                          <w:r>
                            <w:rPr>
                              <w:color w:val="7030A0"/>
                              <w:spacing w:val="-4"/>
                              <w:sz w:val="20"/>
                            </w:rPr>
                            <w:t>202</w:t>
                          </w:r>
                          <w:r w:rsidR="007347C6">
                            <w:rPr>
                              <w:color w:val="7030A0"/>
                              <w:spacing w:val="-4"/>
                              <w:sz w:val="20"/>
                            </w:rPr>
                            <w:t>4</w:t>
                          </w:r>
                        </w:p>
                      </w:txbxContent>
                    </wps:txbx>
                    <wps:bodyPr wrap="square" lIns="0" tIns="0" rIns="0" bIns="0" rtlCol="0">
                      <a:noAutofit/>
                    </wps:bodyPr>
                  </wps:wsp>
                </a:graphicData>
              </a:graphic>
            </wp:anchor>
          </w:drawing>
        </mc:Choice>
        <mc:Fallback>
          <w:pict>
            <v:shape w14:anchorId="4E5B52CA" id="Textbox 2" o:spid="_x0000_s1031" type="#_x0000_t202" style="position:absolute;margin-left:451.8pt;margin-top:28.2pt;width:89.3pt;height:13.2pt;z-index:-161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" filled="f" stroked="f">
              <v:textbox inset="0,0,0,0">
                <w:txbxContent>
                  <w:p w14:paraId="4E5B536E" w14:textId="72403040" w:rsidR="00194832" w:rsidRDefault="002311B1">
                    <w:pPr>
                      <w:spacing w:before="13"/>
                      <w:ind w:left="20"/>
                      <w:rPr>
                        <w:sz w:val="20"/>
                      </w:rPr>
                    </w:pPr>
                    <w:r>
                      <w:rPr>
                        <w:color w:val="7030A0"/>
                        <w:sz w:val="20"/>
                      </w:rPr>
                      <w:t>Vol.</w:t>
                    </w:r>
                    <w:r>
                      <w:rPr>
                        <w:color w:val="7030A0"/>
                        <w:spacing w:val="-4"/>
                        <w:sz w:val="20"/>
                      </w:rPr>
                      <w:t xml:space="preserve"> </w:t>
                    </w:r>
                    <w:r>
                      <w:rPr>
                        <w:color w:val="7030A0"/>
                        <w:sz w:val="20"/>
                      </w:rPr>
                      <w:t>0</w:t>
                    </w:r>
                    <w:r w:rsidR="007347C6">
                      <w:rPr>
                        <w:color w:val="7030A0"/>
                        <w:sz w:val="20"/>
                      </w:rPr>
                      <w:t>6</w:t>
                    </w:r>
                    <w:r>
                      <w:rPr>
                        <w:color w:val="7030A0"/>
                        <w:sz w:val="20"/>
                      </w:rPr>
                      <w:t>,</w:t>
                    </w:r>
                    <w:r>
                      <w:rPr>
                        <w:color w:val="7030A0"/>
                        <w:spacing w:val="-4"/>
                        <w:sz w:val="20"/>
                      </w:rPr>
                      <w:t xml:space="preserve"> </w:t>
                    </w:r>
                    <w:r>
                      <w:rPr>
                        <w:color w:val="7030A0"/>
                        <w:sz w:val="20"/>
                      </w:rPr>
                      <w:t>No.</w:t>
                    </w:r>
                    <w:r>
                      <w:rPr>
                        <w:color w:val="7030A0"/>
                        <w:spacing w:val="-4"/>
                        <w:sz w:val="20"/>
                      </w:rPr>
                      <w:t xml:space="preserve"> </w:t>
                    </w:r>
                    <w:r>
                      <w:rPr>
                        <w:color w:val="7030A0"/>
                        <w:sz w:val="20"/>
                      </w:rPr>
                      <w:t>02,</w:t>
                    </w:r>
                    <w:r>
                      <w:rPr>
                        <w:color w:val="7030A0"/>
                        <w:spacing w:val="-3"/>
                        <w:sz w:val="20"/>
                      </w:rPr>
                      <w:t xml:space="preserve"> </w:t>
                    </w:r>
                    <w:r>
                      <w:rPr>
                        <w:color w:val="7030A0"/>
                        <w:spacing w:val="-4"/>
                        <w:sz w:val="20"/>
                      </w:rPr>
                      <w:t>202</w:t>
                    </w:r>
                    <w:r w:rsidR="007347C6">
                      <w:rPr>
                        <w:color w:val="7030A0"/>
                        <w:spacing w:val="-4"/>
                        <w:sz w:val="20"/>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57583"/>
    <w:multiLevelType w:val="hybridMultilevel"/>
    <w:tmpl w:val="0E0C3598"/>
    <w:lvl w:ilvl="0" w:tplc="7A80DEAE">
      <w:start w:val="1"/>
      <w:numFmt w:val="decimal"/>
      <w:lvlText w:val="%1."/>
      <w:lvlJc w:val="left"/>
      <w:pPr>
        <w:ind w:left="23" w:hanging="262"/>
      </w:pPr>
      <w:rPr>
        <w:rFonts w:ascii="Times New Roman" w:eastAsia="Times New Roman" w:hAnsi="Times New Roman" w:cs="Times New Roman" w:hint="default"/>
        <w:b w:val="0"/>
        <w:bCs w:val="0"/>
        <w:i w:val="0"/>
        <w:iCs w:val="0"/>
        <w:spacing w:val="0"/>
        <w:w w:val="100"/>
        <w:sz w:val="24"/>
        <w:szCs w:val="24"/>
        <w:lang w:val="en-US" w:eastAsia="en-US" w:bidi="ar-SA"/>
      </w:rPr>
    </w:lvl>
    <w:lvl w:ilvl="1" w:tplc="61F2FE36">
      <w:numFmt w:val="bullet"/>
      <w:lvlText w:val="•"/>
      <w:lvlJc w:val="left"/>
      <w:pPr>
        <w:ind w:left="487" w:hanging="262"/>
      </w:pPr>
      <w:rPr>
        <w:rFonts w:hint="default"/>
        <w:lang w:val="en-US" w:eastAsia="en-US" w:bidi="ar-SA"/>
      </w:rPr>
    </w:lvl>
    <w:lvl w:ilvl="2" w:tplc="FBD0F288">
      <w:numFmt w:val="bullet"/>
      <w:lvlText w:val="•"/>
      <w:lvlJc w:val="left"/>
      <w:pPr>
        <w:ind w:left="954" w:hanging="262"/>
      </w:pPr>
      <w:rPr>
        <w:rFonts w:hint="default"/>
        <w:lang w:val="en-US" w:eastAsia="en-US" w:bidi="ar-SA"/>
      </w:rPr>
    </w:lvl>
    <w:lvl w:ilvl="3" w:tplc="115E92D6">
      <w:numFmt w:val="bullet"/>
      <w:lvlText w:val="•"/>
      <w:lvlJc w:val="left"/>
      <w:pPr>
        <w:ind w:left="1421" w:hanging="262"/>
      </w:pPr>
      <w:rPr>
        <w:rFonts w:hint="default"/>
        <w:lang w:val="en-US" w:eastAsia="en-US" w:bidi="ar-SA"/>
      </w:rPr>
    </w:lvl>
    <w:lvl w:ilvl="4" w:tplc="C97EA5EE">
      <w:numFmt w:val="bullet"/>
      <w:lvlText w:val="•"/>
      <w:lvlJc w:val="left"/>
      <w:pPr>
        <w:ind w:left="1888" w:hanging="262"/>
      </w:pPr>
      <w:rPr>
        <w:rFonts w:hint="default"/>
        <w:lang w:val="en-US" w:eastAsia="en-US" w:bidi="ar-SA"/>
      </w:rPr>
    </w:lvl>
    <w:lvl w:ilvl="5" w:tplc="21122DA2">
      <w:numFmt w:val="bullet"/>
      <w:lvlText w:val="•"/>
      <w:lvlJc w:val="left"/>
      <w:pPr>
        <w:ind w:left="2355" w:hanging="262"/>
      </w:pPr>
      <w:rPr>
        <w:rFonts w:hint="default"/>
        <w:lang w:val="en-US" w:eastAsia="en-US" w:bidi="ar-SA"/>
      </w:rPr>
    </w:lvl>
    <w:lvl w:ilvl="6" w:tplc="F5B4BE8A">
      <w:numFmt w:val="bullet"/>
      <w:lvlText w:val="•"/>
      <w:lvlJc w:val="left"/>
      <w:pPr>
        <w:ind w:left="2822" w:hanging="262"/>
      </w:pPr>
      <w:rPr>
        <w:rFonts w:hint="default"/>
        <w:lang w:val="en-US" w:eastAsia="en-US" w:bidi="ar-SA"/>
      </w:rPr>
    </w:lvl>
    <w:lvl w:ilvl="7" w:tplc="64C8ADAE">
      <w:numFmt w:val="bullet"/>
      <w:lvlText w:val="•"/>
      <w:lvlJc w:val="left"/>
      <w:pPr>
        <w:ind w:left="3289" w:hanging="262"/>
      </w:pPr>
      <w:rPr>
        <w:rFonts w:hint="default"/>
        <w:lang w:val="en-US" w:eastAsia="en-US" w:bidi="ar-SA"/>
      </w:rPr>
    </w:lvl>
    <w:lvl w:ilvl="8" w:tplc="6A04B1F2">
      <w:numFmt w:val="bullet"/>
      <w:lvlText w:val="•"/>
      <w:lvlJc w:val="left"/>
      <w:pPr>
        <w:ind w:left="3756" w:hanging="262"/>
      </w:pPr>
      <w:rPr>
        <w:rFonts w:hint="default"/>
        <w:lang w:val="en-US" w:eastAsia="en-US" w:bidi="ar-SA"/>
      </w:rPr>
    </w:lvl>
  </w:abstractNum>
  <w:num w:numId="1" w16cid:durableId="72143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4832"/>
    <w:rsid w:val="00007AE2"/>
    <w:rsid w:val="0001753B"/>
    <w:rsid w:val="00033AA7"/>
    <w:rsid w:val="00033E15"/>
    <w:rsid w:val="00047076"/>
    <w:rsid w:val="000539EC"/>
    <w:rsid w:val="00072C34"/>
    <w:rsid w:val="00084950"/>
    <w:rsid w:val="000B5B37"/>
    <w:rsid w:val="000B6DEE"/>
    <w:rsid w:val="000C1172"/>
    <w:rsid w:val="000C74BB"/>
    <w:rsid w:val="000C7C6C"/>
    <w:rsid w:val="000E0C74"/>
    <w:rsid w:val="000E2F6C"/>
    <w:rsid w:val="000E5239"/>
    <w:rsid w:val="000F0950"/>
    <w:rsid w:val="000F462B"/>
    <w:rsid w:val="00100A3C"/>
    <w:rsid w:val="00110B5B"/>
    <w:rsid w:val="00112B43"/>
    <w:rsid w:val="00115F84"/>
    <w:rsid w:val="00135B8C"/>
    <w:rsid w:val="00141653"/>
    <w:rsid w:val="0014538A"/>
    <w:rsid w:val="00153C11"/>
    <w:rsid w:val="001757DD"/>
    <w:rsid w:val="00175892"/>
    <w:rsid w:val="0017729A"/>
    <w:rsid w:val="0018020A"/>
    <w:rsid w:val="001918F7"/>
    <w:rsid w:val="00194832"/>
    <w:rsid w:val="001C52C9"/>
    <w:rsid w:val="001D57E0"/>
    <w:rsid w:val="001D76BB"/>
    <w:rsid w:val="001E4FAE"/>
    <w:rsid w:val="001F1F79"/>
    <w:rsid w:val="001F33AA"/>
    <w:rsid w:val="0020333C"/>
    <w:rsid w:val="00206DE8"/>
    <w:rsid w:val="00212827"/>
    <w:rsid w:val="002237B4"/>
    <w:rsid w:val="0022421D"/>
    <w:rsid w:val="00224B86"/>
    <w:rsid w:val="00230156"/>
    <w:rsid w:val="002311B1"/>
    <w:rsid w:val="00237102"/>
    <w:rsid w:val="00246DEB"/>
    <w:rsid w:val="00277D44"/>
    <w:rsid w:val="00281530"/>
    <w:rsid w:val="0028420F"/>
    <w:rsid w:val="002A3D10"/>
    <w:rsid w:val="002A514D"/>
    <w:rsid w:val="002A5992"/>
    <w:rsid w:val="002A72ED"/>
    <w:rsid w:val="002B0524"/>
    <w:rsid w:val="002B7561"/>
    <w:rsid w:val="002D2051"/>
    <w:rsid w:val="002E41A4"/>
    <w:rsid w:val="002F4014"/>
    <w:rsid w:val="002F695A"/>
    <w:rsid w:val="0030112C"/>
    <w:rsid w:val="00303AC1"/>
    <w:rsid w:val="0031556F"/>
    <w:rsid w:val="0033042F"/>
    <w:rsid w:val="00331164"/>
    <w:rsid w:val="00335139"/>
    <w:rsid w:val="0034039C"/>
    <w:rsid w:val="00341B73"/>
    <w:rsid w:val="00344F95"/>
    <w:rsid w:val="00347D06"/>
    <w:rsid w:val="00370388"/>
    <w:rsid w:val="003744A9"/>
    <w:rsid w:val="00390E14"/>
    <w:rsid w:val="003940C4"/>
    <w:rsid w:val="003954E9"/>
    <w:rsid w:val="003973C0"/>
    <w:rsid w:val="003B6A26"/>
    <w:rsid w:val="003D2CCD"/>
    <w:rsid w:val="003D555E"/>
    <w:rsid w:val="003D737C"/>
    <w:rsid w:val="00407D26"/>
    <w:rsid w:val="0042297F"/>
    <w:rsid w:val="0042443A"/>
    <w:rsid w:val="00427C70"/>
    <w:rsid w:val="00431737"/>
    <w:rsid w:val="00431E26"/>
    <w:rsid w:val="0045180A"/>
    <w:rsid w:val="00453D43"/>
    <w:rsid w:val="00463E6A"/>
    <w:rsid w:val="004A1C5C"/>
    <w:rsid w:val="004A3322"/>
    <w:rsid w:val="004B4017"/>
    <w:rsid w:val="004B52FC"/>
    <w:rsid w:val="004B6C42"/>
    <w:rsid w:val="004B7121"/>
    <w:rsid w:val="004C037C"/>
    <w:rsid w:val="004D1C7E"/>
    <w:rsid w:val="004D3B72"/>
    <w:rsid w:val="004D73F8"/>
    <w:rsid w:val="004E256F"/>
    <w:rsid w:val="004E4C0A"/>
    <w:rsid w:val="004F2F67"/>
    <w:rsid w:val="00511C05"/>
    <w:rsid w:val="00511F08"/>
    <w:rsid w:val="00512354"/>
    <w:rsid w:val="00517145"/>
    <w:rsid w:val="0052004B"/>
    <w:rsid w:val="00535069"/>
    <w:rsid w:val="00535616"/>
    <w:rsid w:val="00543CDA"/>
    <w:rsid w:val="00547C9A"/>
    <w:rsid w:val="005545B3"/>
    <w:rsid w:val="005573CE"/>
    <w:rsid w:val="0056647F"/>
    <w:rsid w:val="00566E0C"/>
    <w:rsid w:val="00585778"/>
    <w:rsid w:val="00595BBC"/>
    <w:rsid w:val="00595C1F"/>
    <w:rsid w:val="005A0AEC"/>
    <w:rsid w:val="005A2FE9"/>
    <w:rsid w:val="005A3BE0"/>
    <w:rsid w:val="005B2D6C"/>
    <w:rsid w:val="005B4A20"/>
    <w:rsid w:val="005C6AF9"/>
    <w:rsid w:val="005C7C94"/>
    <w:rsid w:val="005D2E4B"/>
    <w:rsid w:val="005E719B"/>
    <w:rsid w:val="005E7F28"/>
    <w:rsid w:val="005F13C2"/>
    <w:rsid w:val="0060269E"/>
    <w:rsid w:val="0060634A"/>
    <w:rsid w:val="00610067"/>
    <w:rsid w:val="00610416"/>
    <w:rsid w:val="00634D54"/>
    <w:rsid w:val="00644788"/>
    <w:rsid w:val="00651801"/>
    <w:rsid w:val="00663D95"/>
    <w:rsid w:val="00666135"/>
    <w:rsid w:val="0067625C"/>
    <w:rsid w:val="00681950"/>
    <w:rsid w:val="006976AA"/>
    <w:rsid w:val="006A2251"/>
    <w:rsid w:val="006B45C5"/>
    <w:rsid w:val="006B4ACE"/>
    <w:rsid w:val="006B68FD"/>
    <w:rsid w:val="006E303E"/>
    <w:rsid w:val="007010EF"/>
    <w:rsid w:val="00701F8C"/>
    <w:rsid w:val="00703601"/>
    <w:rsid w:val="00707AF6"/>
    <w:rsid w:val="00726E48"/>
    <w:rsid w:val="00732297"/>
    <w:rsid w:val="007347C6"/>
    <w:rsid w:val="00734BD4"/>
    <w:rsid w:val="007409CB"/>
    <w:rsid w:val="007457F6"/>
    <w:rsid w:val="00745C02"/>
    <w:rsid w:val="007461AC"/>
    <w:rsid w:val="00753EC7"/>
    <w:rsid w:val="0077026F"/>
    <w:rsid w:val="00780FCF"/>
    <w:rsid w:val="007A591E"/>
    <w:rsid w:val="007A6F6C"/>
    <w:rsid w:val="007C3573"/>
    <w:rsid w:val="007D5B82"/>
    <w:rsid w:val="007D6624"/>
    <w:rsid w:val="007E3987"/>
    <w:rsid w:val="007F1C3C"/>
    <w:rsid w:val="007F2DC3"/>
    <w:rsid w:val="007F55A8"/>
    <w:rsid w:val="00800E01"/>
    <w:rsid w:val="00801ED2"/>
    <w:rsid w:val="008034EA"/>
    <w:rsid w:val="00813AA3"/>
    <w:rsid w:val="0081434F"/>
    <w:rsid w:val="008149DA"/>
    <w:rsid w:val="00816CEA"/>
    <w:rsid w:val="00823472"/>
    <w:rsid w:val="0082460F"/>
    <w:rsid w:val="008267D5"/>
    <w:rsid w:val="00831751"/>
    <w:rsid w:val="008346D2"/>
    <w:rsid w:val="00835DFE"/>
    <w:rsid w:val="00836E84"/>
    <w:rsid w:val="008405A1"/>
    <w:rsid w:val="0084689B"/>
    <w:rsid w:val="008502E9"/>
    <w:rsid w:val="00861FD2"/>
    <w:rsid w:val="00867648"/>
    <w:rsid w:val="00873169"/>
    <w:rsid w:val="00874CB5"/>
    <w:rsid w:val="0089259C"/>
    <w:rsid w:val="008A0860"/>
    <w:rsid w:val="008A1ACC"/>
    <w:rsid w:val="008A2238"/>
    <w:rsid w:val="008B6E31"/>
    <w:rsid w:val="008D4716"/>
    <w:rsid w:val="008E40A0"/>
    <w:rsid w:val="008F3EAB"/>
    <w:rsid w:val="008F5772"/>
    <w:rsid w:val="0091089B"/>
    <w:rsid w:val="009226ED"/>
    <w:rsid w:val="00923A46"/>
    <w:rsid w:val="00923B81"/>
    <w:rsid w:val="00925977"/>
    <w:rsid w:val="00926C49"/>
    <w:rsid w:val="00932726"/>
    <w:rsid w:val="00943F70"/>
    <w:rsid w:val="00961AB0"/>
    <w:rsid w:val="00962F2B"/>
    <w:rsid w:val="00966B3F"/>
    <w:rsid w:val="009A3E59"/>
    <w:rsid w:val="009A5EE6"/>
    <w:rsid w:val="009B75AC"/>
    <w:rsid w:val="009C2E5A"/>
    <w:rsid w:val="009C461B"/>
    <w:rsid w:val="009C492A"/>
    <w:rsid w:val="009E4391"/>
    <w:rsid w:val="009E4E20"/>
    <w:rsid w:val="00A00C20"/>
    <w:rsid w:val="00A02C46"/>
    <w:rsid w:val="00A10A2C"/>
    <w:rsid w:val="00A171EE"/>
    <w:rsid w:val="00A24B5A"/>
    <w:rsid w:val="00A26B4A"/>
    <w:rsid w:val="00A27362"/>
    <w:rsid w:val="00A427B7"/>
    <w:rsid w:val="00A43529"/>
    <w:rsid w:val="00A55537"/>
    <w:rsid w:val="00A60E42"/>
    <w:rsid w:val="00A65334"/>
    <w:rsid w:val="00A663DE"/>
    <w:rsid w:val="00A66E98"/>
    <w:rsid w:val="00A83192"/>
    <w:rsid w:val="00A84D65"/>
    <w:rsid w:val="00A93A79"/>
    <w:rsid w:val="00A95B8F"/>
    <w:rsid w:val="00AA03C8"/>
    <w:rsid w:val="00AC0751"/>
    <w:rsid w:val="00AD74A7"/>
    <w:rsid w:val="00B00E37"/>
    <w:rsid w:val="00B067DA"/>
    <w:rsid w:val="00B07C11"/>
    <w:rsid w:val="00B125E1"/>
    <w:rsid w:val="00B267E8"/>
    <w:rsid w:val="00B326B2"/>
    <w:rsid w:val="00B4167B"/>
    <w:rsid w:val="00B5590E"/>
    <w:rsid w:val="00B760F9"/>
    <w:rsid w:val="00B8212C"/>
    <w:rsid w:val="00B869F1"/>
    <w:rsid w:val="00B967D4"/>
    <w:rsid w:val="00B96C1B"/>
    <w:rsid w:val="00BA0F70"/>
    <w:rsid w:val="00BA1A60"/>
    <w:rsid w:val="00BA66C2"/>
    <w:rsid w:val="00BB5DFB"/>
    <w:rsid w:val="00BC4E41"/>
    <w:rsid w:val="00BD39EF"/>
    <w:rsid w:val="00BD6291"/>
    <w:rsid w:val="00BE536E"/>
    <w:rsid w:val="00BE6A37"/>
    <w:rsid w:val="00BF034C"/>
    <w:rsid w:val="00BF2384"/>
    <w:rsid w:val="00C0632F"/>
    <w:rsid w:val="00C1570C"/>
    <w:rsid w:val="00C17E30"/>
    <w:rsid w:val="00C273CA"/>
    <w:rsid w:val="00C27B95"/>
    <w:rsid w:val="00C30E4F"/>
    <w:rsid w:val="00C336C1"/>
    <w:rsid w:val="00C33A2F"/>
    <w:rsid w:val="00C33D68"/>
    <w:rsid w:val="00C502F1"/>
    <w:rsid w:val="00C549DE"/>
    <w:rsid w:val="00C5798A"/>
    <w:rsid w:val="00C64427"/>
    <w:rsid w:val="00C66427"/>
    <w:rsid w:val="00C77880"/>
    <w:rsid w:val="00C81C06"/>
    <w:rsid w:val="00C82478"/>
    <w:rsid w:val="00C828CE"/>
    <w:rsid w:val="00CC263A"/>
    <w:rsid w:val="00CE5007"/>
    <w:rsid w:val="00CE7682"/>
    <w:rsid w:val="00CF48E7"/>
    <w:rsid w:val="00D009C0"/>
    <w:rsid w:val="00D13A9D"/>
    <w:rsid w:val="00D14A05"/>
    <w:rsid w:val="00D17273"/>
    <w:rsid w:val="00D26E22"/>
    <w:rsid w:val="00D31C88"/>
    <w:rsid w:val="00D35F21"/>
    <w:rsid w:val="00D42D10"/>
    <w:rsid w:val="00D516A8"/>
    <w:rsid w:val="00D51830"/>
    <w:rsid w:val="00D6739F"/>
    <w:rsid w:val="00D67644"/>
    <w:rsid w:val="00D70D04"/>
    <w:rsid w:val="00D769A1"/>
    <w:rsid w:val="00D807A1"/>
    <w:rsid w:val="00D872CD"/>
    <w:rsid w:val="00D903E7"/>
    <w:rsid w:val="00D94866"/>
    <w:rsid w:val="00DA2428"/>
    <w:rsid w:val="00DB1756"/>
    <w:rsid w:val="00DB1A92"/>
    <w:rsid w:val="00DC102F"/>
    <w:rsid w:val="00DF1641"/>
    <w:rsid w:val="00E01465"/>
    <w:rsid w:val="00E046A9"/>
    <w:rsid w:val="00E10A54"/>
    <w:rsid w:val="00E141D4"/>
    <w:rsid w:val="00E176D0"/>
    <w:rsid w:val="00E20147"/>
    <w:rsid w:val="00E325E7"/>
    <w:rsid w:val="00E47EF8"/>
    <w:rsid w:val="00E61797"/>
    <w:rsid w:val="00E61CA2"/>
    <w:rsid w:val="00E72656"/>
    <w:rsid w:val="00E72C7C"/>
    <w:rsid w:val="00E77666"/>
    <w:rsid w:val="00E8465C"/>
    <w:rsid w:val="00E862EC"/>
    <w:rsid w:val="00E908B0"/>
    <w:rsid w:val="00E93C54"/>
    <w:rsid w:val="00E943CE"/>
    <w:rsid w:val="00E94C54"/>
    <w:rsid w:val="00EB6715"/>
    <w:rsid w:val="00EC472D"/>
    <w:rsid w:val="00EC55B6"/>
    <w:rsid w:val="00EC67BC"/>
    <w:rsid w:val="00EE507B"/>
    <w:rsid w:val="00EE58CF"/>
    <w:rsid w:val="00EE59EA"/>
    <w:rsid w:val="00EE795E"/>
    <w:rsid w:val="00EF306E"/>
    <w:rsid w:val="00F20B4A"/>
    <w:rsid w:val="00F211C8"/>
    <w:rsid w:val="00F259A4"/>
    <w:rsid w:val="00F34C5C"/>
    <w:rsid w:val="00F34F30"/>
    <w:rsid w:val="00F46983"/>
    <w:rsid w:val="00F827CA"/>
    <w:rsid w:val="00F82CF4"/>
    <w:rsid w:val="00F96532"/>
    <w:rsid w:val="00FA1244"/>
    <w:rsid w:val="00FA1CFE"/>
    <w:rsid w:val="00FA2562"/>
    <w:rsid w:val="00FB4525"/>
    <w:rsid w:val="00FB5915"/>
    <w:rsid w:val="00FB6B74"/>
    <w:rsid w:val="00FB6D38"/>
    <w:rsid w:val="00FB73BB"/>
    <w:rsid w:val="00FD40B8"/>
    <w:rsid w:val="00FE454E"/>
    <w:rsid w:val="00FE4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B5200"/>
  <w15:docId w15:val="{AB494414-AAF7-4C5A-81A8-59EC98A4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4"/>
      <w:szCs w:val="24"/>
    </w:rPr>
  </w:style>
  <w:style w:type="paragraph" w:styleId="Heading2">
    <w:name w:val="heading 2"/>
    <w:basedOn w:val="Normal"/>
    <w:next w:val="Normal"/>
    <w:link w:val="Heading2Char"/>
    <w:uiPriority w:val="9"/>
    <w:semiHidden/>
    <w:unhideWhenUsed/>
    <w:qFormat/>
    <w:rsid w:val="007461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7EF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ListParagraph">
    <w:name w:val="List Paragraph"/>
    <w:basedOn w:val="Normal"/>
    <w:uiPriority w:val="1"/>
    <w:qFormat/>
    <w:pPr>
      <w:ind w:left="23" w:right="1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47C6"/>
    <w:pPr>
      <w:tabs>
        <w:tab w:val="center" w:pos="4680"/>
        <w:tab w:val="right" w:pos="9360"/>
      </w:tabs>
    </w:pPr>
  </w:style>
  <w:style w:type="character" w:customStyle="1" w:styleId="HeaderChar">
    <w:name w:val="Header Char"/>
    <w:basedOn w:val="DefaultParagraphFont"/>
    <w:link w:val="Header"/>
    <w:uiPriority w:val="99"/>
    <w:rsid w:val="007347C6"/>
    <w:rPr>
      <w:rFonts w:ascii="Times New Roman" w:eastAsia="Times New Roman" w:hAnsi="Times New Roman" w:cs="Times New Roman"/>
    </w:rPr>
  </w:style>
  <w:style w:type="paragraph" w:styleId="Footer">
    <w:name w:val="footer"/>
    <w:basedOn w:val="Normal"/>
    <w:link w:val="FooterChar"/>
    <w:uiPriority w:val="99"/>
    <w:unhideWhenUsed/>
    <w:rsid w:val="007347C6"/>
    <w:pPr>
      <w:tabs>
        <w:tab w:val="center" w:pos="4680"/>
        <w:tab w:val="right" w:pos="9360"/>
      </w:tabs>
    </w:pPr>
  </w:style>
  <w:style w:type="character" w:customStyle="1" w:styleId="FooterChar">
    <w:name w:val="Footer Char"/>
    <w:basedOn w:val="DefaultParagraphFont"/>
    <w:link w:val="Footer"/>
    <w:uiPriority w:val="99"/>
    <w:rsid w:val="007347C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E47EF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2297F"/>
    <w:rPr>
      <w:color w:val="0000FF" w:themeColor="hyperlink"/>
      <w:u w:val="single"/>
    </w:rPr>
  </w:style>
  <w:style w:type="character" w:customStyle="1" w:styleId="UnresolvedMention1">
    <w:name w:val="Unresolved Mention1"/>
    <w:basedOn w:val="DefaultParagraphFont"/>
    <w:uiPriority w:val="99"/>
    <w:semiHidden/>
    <w:unhideWhenUsed/>
    <w:rsid w:val="0042297F"/>
    <w:rPr>
      <w:color w:val="605E5C"/>
      <w:shd w:val="clear" w:color="auto" w:fill="E1DFDD"/>
    </w:rPr>
  </w:style>
  <w:style w:type="character" w:customStyle="1" w:styleId="Heading2Char">
    <w:name w:val="Heading 2 Char"/>
    <w:basedOn w:val="DefaultParagraphFont"/>
    <w:link w:val="Heading2"/>
    <w:uiPriority w:val="9"/>
    <w:semiHidden/>
    <w:rsid w:val="007461A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175892"/>
    <w:pPr>
      <w:widowControl/>
      <w:autoSpaceDE/>
      <w:autoSpaceDN/>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j-keyword">
    <w:name w:val="ej-keyword"/>
    <w:basedOn w:val="DefaultParagraphFont"/>
    <w:rsid w:val="00175892"/>
  </w:style>
  <w:style w:type="character" w:customStyle="1" w:styleId="title-text">
    <w:name w:val="title-text"/>
    <w:basedOn w:val="DefaultParagraphFont"/>
    <w:rsid w:val="00175892"/>
  </w:style>
  <w:style w:type="paragraph" w:styleId="NormalWeb">
    <w:name w:val="Normal (Web)"/>
    <w:basedOn w:val="Normal"/>
    <w:uiPriority w:val="99"/>
    <w:unhideWhenUsed/>
    <w:rsid w:val="00D516A8"/>
    <w:pPr>
      <w:widowControl/>
      <w:autoSpaceDE/>
      <w:autoSpaceDN/>
      <w:spacing w:before="100" w:beforeAutospacing="1" w:after="100" w:afterAutospacing="1"/>
    </w:pPr>
    <w:rPr>
      <w:sz w:val="24"/>
      <w:szCs w:val="24"/>
    </w:rPr>
  </w:style>
  <w:style w:type="paragraph" w:styleId="Caption">
    <w:name w:val="caption"/>
    <w:basedOn w:val="Normal"/>
    <w:next w:val="Normal"/>
    <w:uiPriority w:val="35"/>
    <w:unhideWhenUsed/>
    <w:qFormat/>
    <w:rsid w:val="004D73F8"/>
    <w:pPr>
      <w:widowControl/>
      <w:autoSpaceDE/>
      <w:autoSpaceDN/>
      <w:spacing w:after="120" w:line="360" w:lineRule="auto"/>
    </w:pPr>
    <w:rPr>
      <w:rFonts w:eastAsiaTheme="minorHAnsi"/>
      <w:b/>
      <w:bCs/>
      <w:color w:val="000000" w:themeColor="text1"/>
      <w:sz w:val="16"/>
      <w:szCs w:val="18"/>
    </w:rPr>
  </w:style>
  <w:style w:type="character" w:styleId="PageNumber">
    <w:name w:val="page number"/>
    <w:basedOn w:val="DefaultParagraphFont"/>
    <w:uiPriority w:val="99"/>
    <w:semiHidden/>
    <w:unhideWhenUsed/>
    <w:rsid w:val="0011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sheenmanzoor@umt.edu.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EC384-535E-402C-BA2A-35A2E1F0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Haider Darain</cp:lastModifiedBy>
  <cp:revision>350</cp:revision>
  <dcterms:created xsi:type="dcterms:W3CDTF">2024-12-24T09:21:00Z</dcterms:created>
  <dcterms:modified xsi:type="dcterms:W3CDTF">2025-01-26T16:52:00Z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LastSaved">
    <vt:filetime>2024-12-24T00:00:00Z</vt:filetime>
  </property>
  <property fmtid="{D5CDD505-2E9C-101B-9397-08002B2CF9AE}" pid="4" name="Producer">
    <vt:lpwstr>macOS Version 12.7.3 (Build 21H1013) Quartz PDFContext</vt:lpwstr>
  </property>
</Properties>
</file>